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CB" w:rsidRPr="00A85FF2" w:rsidRDefault="00DC1BCB" w:rsidP="00A85FF2">
      <w:pPr>
        <w:snapToGrid w:val="0"/>
        <w:spacing w:before="100" w:beforeAutospacing="1" w:after="100" w:afterAutospacing="1" w:line="400" w:lineRule="exact"/>
        <w:jc w:val="center"/>
        <w:rPr>
          <w:rFonts w:ascii="標楷體" w:eastAsia="標楷體" w:hAnsi="標楷體"/>
          <w:b/>
          <w:sz w:val="32"/>
          <w:szCs w:val="32"/>
        </w:rPr>
      </w:pPr>
      <w:r w:rsidRPr="00A85FF2">
        <w:rPr>
          <w:rFonts w:ascii="標楷體" w:eastAsia="標楷體" w:hAnsi="標楷體" w:hint="eastAsia"/>
          <w:b/>
          <w:sz w:val="32"/>
          <w:szCs w:val="32"/>
        </w:rPr>
        <w:t>法務部矯正署桃園監獄</w:t>
      </w:r>
      <w:r w:rsidR="00A85FF2">
        <w:rPr>
          <w:rFonts w:ascii="標楷體" w:eastAsia="標楷體" w:hAnsi="標楷體" w:hint="eastAsia"/>
          <w:b/>
          <w:sz w:val="32"/>
          <w:szCs w:val="32"/>
        </w:rPr>
        <w:t>「</w:t>
      </w:r>
      <w:r w:rsidRPr="00D322B9">
        <w:rPr>
          <w:rFonts w:ascii="標楷體" w:eastAsia="標楷體" w:hAnsi="標楷體" w:hint="eastAsia"/>
          <w:b/>
          <w:color w:val="FF0000"/>
          <w:sz w:val="32"/>
          <w:szCs w:val="32"/>
        </w:rPr>
        <w:t>115-116年度</w:t>
      </w:r>
      <w:r w:rsidRPr="00A85FF2">
        <w:rPr>
          <w:rFonts w:ascii="標楷體" w:eastAsia="標楷體" w:hAnsi="標楷體" w:hint="eastAsia"/>
          <w:b/>
          <w:sz w:val="32"/>
          <w:szCs w:val="32"/>
        </w:rPr>
        <w:t>收容人廢食用油標售案</w:t>
      </w:r>
      <w:r w:rsidR="00A85FF2">
        <w:rPr>
          <w:rFonts w:ascii="標楷體" w:eastAsia="標楷體" w:hAnsi="標楷體" w:hint="eastAsia"/>
          <w:b/>
          <w:sz w:val="32"/>
          <w:szCs w:val="32"/>
        </w:rPr>
        <w:t>」</w:t>
      </w:r>
    </w:p>
    <w:p w:rsidR="00DC1BCB" w:rsidRPr="00A85FF2" w:rsidRDefault="00DC1BCB" w:rsidP="00A85FF2">
      <w:pPr>
        <w:snapToGrid w:val="0"/>
        <w:spacing w:before="100" w:beforeAutospacing="1" w:after="100" w:afterAutospacing="1" w:line="400" w:lineRule="exact"/>
        <w:jc w:val="center"/>
        <w:rPr>
          <w:rFonts w:ascii="標楷體" w:eastAsia="標楷體" w:hAnsi="標楷體"/>
          <w:b/>
          <w:sz w:val="32"/>
          <w:szCs w:val="32"/>
        </w:rPr>
      </w:pPr>
      <w:r w:rsidRPr="00A85FF2">
        <w:rPr>
          <w:rFonts w:ascii="標楷體" w:eastAsia="標楷體" w:hAnsi="標楷體" w:hint="eastAsia"/>
          <w:b/>
          <w:sz w:val="32"/>
          <w:szCs w:val="32"/>
        </w:rPr>
        <w:t>投標須知</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一、</w:t>
      </w:r>
      <w:r w:rsidRPr="00DC1BCB">
        <w:rPr>
          <w:rFonts w:ascii="標楷體" w:eastAsia="標楷體" w:hAnsi="標楷體" w:hint="eastAsia"/>
          <w:sz w:val="28"/>
          <w:szCs w:val="28"/>
        </w:rPr>
        <w:tab/>
        <w:t>以下各項招標規定內容，由機關填寫，投標廠商不得填寫或塗改。</w:t>
      </w:r>
    </w:p>
    <w:p w:rsidR="00DC1BCB" w:rsidRPr="007A0496"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b/>
          <w:color w:val="FF0000"/>
          <w:sz w:val="28"/>
          <w:szCs w:val="28"/>
        </w:rPr>
      </w:pPr>
      <w:r w:rsidRPr="00DC1BCB">
        <w:rPr>
          <w:rFonts w:ascii="標楷體" w:eastAsia="標楷體" w:hAnsi="標楷體" w:hint="eastAsia"/>
          <w:sz w:val="28"/>
          <w:szCs w:val="28"/>
        </w:rPr>
        <w:t>二、</w:t>
      </w:r>
      <w:r w:rsidRPr="00DC1BCB">
        <w:rPr>
          <w:rFonts w:ascii="標楷體" w:eastAsia="標楷體" w:hAnsi="標楷體" w:hint="eastAsia"/>
          <w:sz w:val="28"/>
          <w:szCs w:val="28"/>
        </w:rPr>
        <w:tab/>
      </w:r>
      <w:r w:rsidRPr="00802CAD">
        <w:rPr>
          <w:rFonts w:ascii="標楷體" w:eastAsia="標楷體" w:hAnsi="標楷體" w:hint="eastAsia"/>
          <w:b/>
          <w:sz w:val="28"/>
          <w:szCs w:val="28"/>
        </w:rPr>
        <w:t>本標售案名稱：</w:t>
      </w:r>
      <w:r w:rsidRPr="00D322B9">
        <w:rPr>
          <w:rFonts w:ascii="標楷體" w:eastAsia="標楷體" w:hAnsi="標楷體" w:hint="eastAsia"/>
          <w:b/>
          <w:color w:val="FF0000"/>
          <w:sz w:val="28"/>
          <w:szCs w:val="28"/>
        </w:rPr>
        <w:t>115-116年度</w:t>
      </w:r>
      <w:r w:rsidRPr="00802CAD">
        <w:rPr>
          <w:rFonts w:ascii="標楷體" w:eastAsia="標楷體" w:hAnsi="標楷體" w:hint="eastAsia"/>
          <w:b/>
          <w:sz w:val="28"/>
          <w:szCs w:val="28"/>
        </w:rPr>
        <w:t>收容人廢食用油標售案</w:t>
      </w:r>
      <w:r w:rsidRPr="007A0496">
        <w:rPr>
          <w:rFonts w:ascii="標楷體" w:eastAsia="標楷體" w:hAnsi="標楷體" w:hint="eastAsia"/>
          <w:b/>
          <w:color w:val="FF0000"/>
          <w:sz w:val="28"/>
          <w:szCs w:val="28"/>
        </w:rPr>
        <w:t>(案號：</w:t>
      </w:r>
      <w:r w:rsidR="00D322B9" w:rsidRPr="007A0496">
        <w:rPr>
          <w:rFonts w:ascii="標楷體" w:eastAsia="標楷體" w:hAnsi="標楷體"/>
          <w:b/>
          <w:color w:val="FF0000"/>
          <w:sz w:val="28"/>
          <w:szCs w:val="28"/>
        </w:rPr>
        <w:t>11404300200</w:t>
      </w:r>
      <w:r w:rsidRPr="007A0496">
        <w:rPr>
          <w:rFonts w:ascii="標楷體" w:eastAsia="標楷體" w:hAnsi="標楷體" w:hint="eastAsia"/>
          <w:b/>
          <w:color w:val="FF0000"/>
          <w:sz w:val="28"/>
          <w:szCs w:val="28"/>
        </w:rPr>
        <w:t>)</w:t>
      </w:r>
      <w:r w:rsidR="00802CAD" w:rsidRPr="007A0496">
        <w:rPr>
          <w:rFonts w:ascii="標楷體" w:eastAsia="標楷體" w:hAnsi="標楷體" w:hint="eastAsia"/>
          <w:b/>
          <w:color w:val="FF0000"/>
          <w:sz w:val="28"/>
          <w:szCs w:val="28"/>
        </w:rPr>
        <w:t>。</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三、</w:t>
      </w:r>
      <w:r w:rsidRPr="00DC1BCB">
        <w:rPr>
          <w:rFonts w:ascii="標楷體" w:eastAsia="標楷體" w:hAnsi="標楷體" w:hint="eastAsia"/>
          <w:sz w:val="28"/>
          <w:szCs w:val="28"/>
        </w:rPr>
        <w:tab/>
        <w:t>標售方式為：公開標售。</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四、</w:t>
      </w:r>
      <w:r w:rsidRPr="00DC1BCB">
        <w:rPr>
          <w:rFonts w:ascii="標楷體" w:eastAsia="標楷體" w:hAnsi="標楷體" w:hint="eastAsia"/>
          <w:sz w:val="28"/>
          <w:szCs w:val="28"/>
        </w:rPr>
        <w:tab/>
        <w:t>本標售案：不允許廠商共同投標。</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五、</w:t>
      </w:r>
      <w:r w:rsidRPr="00DC1BCB">
        <w:rPr>
          <w:rFonts w:ascii="標楷體" w:eastAsia="標楷體" w:hAnsi="標楷體" w:hint="eastAsia"/>
          <w:sz w:val="28"/>
          <w:szCs w:val="28"/>
        </w:rPr>
        <w:tab/>
        <w:t>廠商對招標文件內容有疑義者，應以書面向招標機關請求釋疑之期限：自公告日或邀標日起等標期之四分之一，其尾數不足1日者，以1日計。</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六、</w:t>
      </w:r>
      <w:r w:rsidRPr="00DC1BCB">
        <w:rPr>
          <w:rFonts w:ascii="標楷體" w:eastAsia="標楷體" w:hAnsi="標楷體" w:hint="eastAsia"/>
          <w:sz w:val="28"/>
          <w:szCs w:val="28"/>
        </w:rPr>
        <w:tab/>
        <w:t>機關以書面答復前條請求釋疑廠商之期限：投標截止期限前1日答復。</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七、</w:t>
      </w:r>
      <w:r w:rsidRPr="00DC1BCB">
        <w:rPr>
          <w:rFonts w:ascii="標楷體" w:eastAsia="標楷體" w:hAnsi="標楷體" w:hint="eastAsia"/>
          <w:sz w:val="28"/>
          <w:szCs w:val="28"/>
        </w:rPr>
        <w:tab/>
        <w:t>投標文件有效期：自投標時起至開標後10日止。</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八、</w:t>
      </w:r>
      <w:r w:rsidRPr="00DC1BCB">
        <w:rPr>
          <w:rFonts w:ascii="標楷體" w:eastAsia="標楷體" w:hAnsi="標楷體" w:hint="eastAsia"/>
          <w:sz w:val="28"/>
          <w:szCs w:val="28"/>
        </w:rPr>
        <w:tab/>
        <w:t>廠商應遞送投標文件份數：1式1份。</w:t>
      </w:r>
    </w:p>
    <w:p w:rsidR="00DC1BCB" w:rsidRPr="00DC1BCB"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九、</w:t>
      </w:r>
      <w:r w:rsidRPr="00DC1BCB">
        <w:rPr>
          <w:rFonts w:ascii="標楷體" w:eastAsia="標楷體" w:hAnsi="標楷體" w:hint="eastAsia"/>
          <w:sz w:val="28"/>
          <w:szCs w:val="28"/>
        </w:rPr>
        <w:tab/>
        <w:t>投標文件使用文字：中文。</w:t>
      </w:r>
    </w:p>
    <w:p w:rsidR="00802CAD" w:rsidRDefault="00DC1BCB" w:rsidP="00710D13">
      <w:pPr>
        <w:snapToGrid w:val="0"/>
        <w:spacing w:beforeLines="40" w:before="144" w:afterLines="30" w:after="108" w:line="400" w:lineRule="exact"/>
        <w:ind w:leftChars="50" w:left="960" w:hangingChars="300" w:hanging="840"/>
        <w:mirrorIndents/>
        <w:rPr>
          <w:rFonts w:ascii="標楷體" w:eastAsia="標楷體" w:hAnsi="標楷體"/>
          <w:sz w:val="28"/>
          <w:szCs w:val="28"/>
        </w:rPr>
      </w:pPr>
      <w:r w:rsidRPr="00DC1BCB">
        <w:rPr>
          <w:rFonts w:ascii="標楷體" w:eastAsia="標楷體" w:hAnsi="標楷體" w:hint="eastAsia"/>
          <w:sz w:val="28"/>
          <w:szCs w:val="28"/>
        </w:rPr>
        <w:t>十、</w:t>
      </w:r>
      <w:r w:rsidRPr="00DC1BCB">
        <w:rPr>
          <w:rFonts w:ascii="標楷體" w:eastAsia="標楷體" w:hAnsi="標楷體" w:hint="eastAsia"/>
          <w:sz w:val="28"/>
          <w:szCs w:val="28"/>
        </w:rPr>
        <w:tab/>
        <w:t>公開標售案件之開標時間：</w:t>
      </w:r>
      <w:r w:rsidRPr="00802CAD">
        <w:rPr>
          <w:rFonts w:ascii="標楷體" w:eastAsia="標楷體" w:hAnsi="標楷體" w:hint="eastAsia"/>
          <w:b/>
          <w:color w:val="FF0000"/>
          <w:sz w:val="28"/>
          <w:szCs w:val="28"/>
        </w:rPr>
        <w:t>民國114年12月</w:t>
      </w:r>
      <w:r w:rsidR="00D322B9">
        <w:rPr>
          <w:rFonts w:ascii="標楷體" w:eastAsia="標楷體" w:hAnsi="標楷體"/>
          <w:b/>
          <w:color w:val="FF0000"/>
          <w:sz w:val="28"/>
          <w:szCs w:val="28"/>
        </w:rPr>
        <w:t>11</w:t>
      </w:r>
      <w:r w:rsidRPr="00802CAD">
        <w:rPr>
          <w:rFonts w:ascii="標楷體" w:eastAsia="標楷體" w:hAnsi="標楷體" w:hint="eastAsia"/>
          <w:b/>
          <w:color w:val="FF0000"/>
          <w:sz w:val="28"/>
          <w:szCs w:val="28"/>
        </w:rPr>
        <w:t>日上午10時</w:t>
      </w:r>
      <w:r w:rsidR="00F257F5">
        <w:rPr>
          <w:rFonts w:ascii="標楷體" w:eastAsia="標楷體" w:hAnsi="標楷體" w:hint="eastAsia"/>
          <w:b/>
          <w:color w:val="FF0000"/>
          <w:sz w:val="28"/>
          <w:szCs w:val="28"/>
        </w:rPr>
        <w:t>0</w:t>
      </w:r>
      <w:r w:rsidRPr="00802CAD">
        <w:rPr>
          <w:rFonts w:ascii="標楷體" w:eastAsia="標楷體" w:hAnsi="標楷體" w:hint="eastAsia"/>
          <w:b/>
          <w:color w:val="FF0000"/>
          <w:sz w:val="28"/>
          <w:szCs w:val="28"/>
        </w:rPr>
        <w:t>分。</w:t>
      </w:r>
      <w:r w:rsidR="00710D13" w:rsidRPr="00D322B9">
        <w:rPr>
          <w:rFonts w:ascii="標楷體" w:eastAsia="標楷體" w:hAnsi="標楷體" w:hint="eastAsia"/>
          <w:sz w:val="28"/>
          <w:szCs w:val="28"/>
        </w:rPr>
        <w:t>因颱風等災變，經</w:t>
      </w:r>
      <w:r w:rsidR="000866F3" w:rsidRPr="00D322B9">
        <w:rPr>
          <w:rFonts w:ascii="標楷體" w:eastAsia="標楷體" w:hAnsi="標楷體" w:hint="eastAsia"/>
          <w:sz w:val="28"/>
          <w:szCs w:val="28"/>
        </w:rPr>
        <w:t>桃園市政府宣佈本監所在地停止上班時，以次一辦公日之同一</w:t>
      </w:r>
      <w:r w:rsidR="00710D13" w:rsidRPr="00D322B9">
        <w:rPr>
          <w:rFonts w:ascii="標楷體" w:eastAsia="標楷體" w:hAnsi="標楷體" w:hint="eastAsia"/>
          <w:sz w:val="28"/>
          <w:szCs w:val="28"/>
        </w:rPr>
        <w:t>開標時間代之（停止上班半日或1日均適用）。</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十一、</w:t>
      </w:r>
      <w:r w:rsidRPr="00DC1BCB">
        <w:rPr>
          <w:rFonts w:ascii="標楷體" w:eastAsia="標楷體" w:hAnsi="標楷體" w:hint="eastAsia"/>
          <w:sz w:val="28"/>
          <w:szCs w:val="28"/>
        </w:rPr>
        <w:tab/>
        <w:t>公開標售案件之開標地點：本監行政大樓2樓會議室。</w:t>
      </w:r>
    </w:p>
    <w:p w:rsidR="00DC1BCB" w:rsidRPr="00802CAD" w:rsidRDefault="00DC1BCB" w:rsidP="00710D13">
      <w:pPr>
        <w:snapToGrid w:val="0"/>
        <w:spacing w:beforeLines="40" w:before="144" w:afterLines="30" w:after="108" w:line="400" w:lineRule="exact"/>
        <w:ind w:left="980" w:hangingChars="350" w:hanging="980"/>
        <w:mirrorIndents/>
        <w:rPr>
          <w:rFonts w:ascii="標楷體" w:eastAsia="標楷體" w:hAnsi="標楷體"/>
          <w:b/>
          <w:sz w:val="28"/>
          <w:szCs w:val="28"/>
        </w:rPr>
      </w:pPr>
      <w:r w:rsidRPr="00DC1BCB">
        <w:rPr>
          <w:rFonts w:ascii="標楷體" w:eastAsia="標楷體" w:hAnsi="標楷體" w:hint="eastAsia"/>
          <w:sz w:val="28"/>
          <w:szCs w:val="28"/>
        </w:rPr>
        <w:t>十二、</w:t>
      </w:r>
      <w:r w:rsidRPr="00DC1BCB">
        <w:rPr>
          <w:rFonts w:ascii="標楷體" w:eastAsia="標楷體" w:hAnsi="標楷體" w:hint="eastAsia"/>
          <w:sz w:val="28"/>
          <w:szCs w:val="28"/>
        </w:rPr>
        <w:tab/>
        <w:t>公開標售案件有權參加開標之每一投標廠商人數：</w:t>
      </w:r>
      <w:r w:rsidRPr="00802CAD">
        <w:rPr>
          <w:rFonts w:ascii="標楷體" w:eastAsia="標楷體" w:hAnsi="標楷體" w:hint="eastAsia"/>
          <w:b/>
          <w:sz w:val="28"/>
          <w:szCs w:val="28"/>
        </w:rPr>
        <w:t>1人；廠商負責人得親自或委託代理人到場，受託人需繳交委託書方得進入開標會場，未派員到場者，視同放棄比價及加價資格。</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十三、</w:t>
      </w:r>
      <w:r w:rsidRPr="00DC1BCB">
        <w:rPr>
          <w:rFonts w:ascii="標楷體" w:eastAsia="標楷體" w:hAnsi="標楷體" w:hint="eastAsia"/>
          <w:sz w:val="28"/>
          <w:szCs w:val="28"/>
        </w:rPr>
        <w:tab/>
      </w:r>
      <w:r w:rsidRPr="00802CAD">
        <w:rPr>
          <w:rFonts w:ascii="標楷體" w:eastAsia="標楷體" w:hAnsi="標楷體" w:hint="eastAsia"/>
          <w:b/>
          <w:sz w:val="28"/>
          <w:szCs w:val="28"/>
        </w:rPr>
        <w:t>押標金金額：新臺幣</w:t>
      </w:r>
      <w:r w:rsidR="00354FF3" w:rsidRPr="00354FF3">
        <w:rPr>
          <w:rFonts w:ascii="標楷體" w:eastAsia="標楷體" w:hAnsi="標楷體" w:hint="eastAsia"/>
          <w:b/>
          <w:sz w:val="28"/>
          <w:szCs w:val="28"/>
        </w:rPr>
        <w:t>壹仟元整</w:t>
      </w:r>
      <w:r w:rsidRPr="00802CAD">
        <w:rPr>
          <w:rFonts w:ascii="標楷體" w:eastAsia="標楷體" w:hAnsi="標楷體" w:hint="eastAsia"/>
          <w:b/>
          <w:sz w:val="28"/>
          <w:szCs w:val="28"/>
        </w:rPr>
        <w:t>。</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十四、</w:t>
      </w:r>
      <w:r w:rsidRPr="00DC1BCB">
        <w:rPr>
          <w:rFonts w:ascii="標楷體" w:eastAsia="標楷體" w:hAnsi="標楷體" w:hint="eastAsia"/>
          <w:sz w:val="28"/>
          <w:szCs w:val="28"/>
        </w:rPr>
        <w:tab/>
        <w:t>押標金有效期：投標日起至決標日止。</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十五、</w:t>
      </w:r>
      <w:r w:rsidRPr="00DC1BCB">
        <w:rPr>
          <w:rFonts w:ascii="標楷體" w:eastAsia="標楷體" w:hAnsi="標楷體" w:hint="eastAsia"/>
          <w:sz w:val="28"/>
          <w:szCs w:val="28"/>
        </w:rPr>
        <w:tab/>
        <w:t>押標金繳納期限：截止投標期限前繳納。</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十六、</w:t>
      </w:r>
      <w:r w:rsidRPr="00DC1BCB">
        <w:rPr>
          <w:rFonts w:ascii="標楷體" w:eastAsia="標楷體" w:hAnsi="標楷體" w:hint="eastAsia"/>
          <w:sz w:val="28"/>
          <w:szCs w:val="28"/>
        </w:rPr>
        <w:tab/>
        <w:t>以現金繳納押標金之繳納處所或金融機構帳號：</w:t>
      </w:r>
    </w:p>
    <w:p w:rsidR="00DC1BCB" w:rsidRPr="00DC1BCB" w:rsidRDefault="00DC1BCB"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sidRPr="00DC1BCB">
        <w:rPr>
          <w:rFonts w:ascii="標楷體" w:eastAsia="標楷體" w:hAnsi="標楷體" w:hint="eastAsia"/>
          <w:sz w:val="28"/>
          <w:szCs w:val="28"/>
        </w:rPr>
        <w:t>(一</w:t>
      </w:r>
      <w:r w:rsidR="002E5487">
        <w:rPr>
          <w:rFonts w:ascii="標楷體" w:eastAsia="標楷體" w:hAnsi="標楷體" w:hint="eastAsia"/>
          <w:sz w:val="28"/>
          <w:szCs w:val="28"/>
        </w:rPr>
        <w:t>)</w:t>
      </w:r>
      <w:r w:rsidRPr="00DC1BCB">
        <w:rPr>
          <w:rFonts w:ascii="標楷體" w:eastAsia="標楷體" w:hAnsi="標楷體" w:hint="eastAsia"/>
          <w:sz w:val="28"/>
          <w:szCs w:val="28"/>
        </w:rPr>
        <w:t>現金繳納：法務部矯正署桃園監獄總務科出納處。</w:t>
      </w:r>
    </w:p>
    <w:p w:rsidR="00DC1BCB" w:rsidRPr="00DC1BCB" w:rsidRDefault="00DC1BCB"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sidRPr="00DC1BCB">
        <w:rPr>
          <w:rFonts w:ascii="標楷體" w:eastAsia="標楷體" w:hAnsi="標楷體" w:hint="eastAsia"/>
          <w:sz w:val="28"/>
          <w:szCs w:val="28"/>
        </w:rPr>
        <w:t>(二</w:t>
      </w:r>
      <w:r w:rsidR="002E5487">
        <w:rPr>
          <w:rFonts w:ascii="標楷體" w:eastAsia="標楷體" w:hAnsi="標楷體" w:hint="eastAsia"/>
          <w:sz w:val="28"/>
          <w:szCs w:val="28"/>
        </w:rPr>
        <w:t>)</w:t>
      </w:r>
      <w:r w:rsidRPr="00DC1BCB">
        <w:rPr>
          <w:rFonts w:ascii="標楷體" w:eastAsia="標楷體" w:hAnsi="標楷體" w:hint="eastAsia"/>
          <w:sz w:val="28"/>
          <w:szCs w:val="28"/>
        </w:rPr>
        <w:t>金融機構轉帳：</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1.</w:t>
      </w:r>
      <w:r w:rsidR="00DC1BCB" w:rsidRPr="00DC1BCB">
        <w:rPr>
          <w:rFonts w:ascii="標楷體" w:eastAsia="標楷體" w:hAnsi="標楷體" w:hint="eastAsia"/>
          <w:sz w:val="28"/>
          <w:szCs w:val="28"/>
        </w:rPr>
        <w:t>解款行：中央銀行國庫局。</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lastRenderedPageBreak/>
        <w:t>2.</w:t>
      </w:r>
      <w:r w:rsidR="00DC1BCB" w:rsidRPr="00DC1BCB">
        <w:rPr>
          <w:rFonts w:ascii="標楷體" w:eastAsia="標楷體" w:hAnsi="標楷體" w:hint="eastAsia"/>
          <w:sz w:val="28"/>
          <w:szCs w:val="28"/>
        </w:rPr>
        <w:t>戶  名：法務部矯正署桃園監獄。</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3.</w:t>
      </w:r>
      <w:r w:rsidR="00DC1BCB" w:rsidRPr="00DC1BCB">
        <w:rPr>
          <w:rFonts w:ascii="標楷體" w:eastAsia="標楷體" w:hAnsi="標楷體" w:hint="eastAsia"/>
          <w:sz w:val="28"/>
          <w:szCs w:val="28"/>
        </w:rPr>
        <w:t>帳  號：24231702120028。</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4.</w:t>
      </w:r>
      <w:r w:rsidR="00DC1BCB" w:rsidRPr="00DC1BCB">
        <w:rPr>
          <w:rFonts w:ascii="標楷體" w:eastAsia="標楷體" w:hAnsi="標楷體" w:hint="eastAsia"/>
          <w:sz w:val="28"/>
          <w:szCs w:val="28"/>
        </w:rPr>
        <w:t>備  註：匯款單請註明（標案名稱）押標金。</w:t>
      </w:r>
    </w:p>
    <w:p w:rsidR="00DC1BCB" w:rsidRPr="008845A2"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8845A2">
        <w:rPr>
          <w:rFonts w:ascii="標楷體" w:eastAsia="標楷體" w:hAnsi="標楷體" w:hint="eastAsia"/>
          <w:sz w:val="28"/>
          <w:szCs w:val="28"/>
        </w:rPr>
        <w:t>十七、</w:t>
      </w:r>
      <w:r w:rsidRPr="008845A2">
        <w:rPr>
          <w:rFonts w:ascii="標楷體" w:eastAsia="標楷體" w:hAnsi="標楷體" w:hint="eastAsia"/>
          <w:sz w:val="28"/>
          <w:szCs w:val="28"/>
        </w:rPr>
        <w:tab/>
      </w:r>
      <w:r w:rsidRPr="008845A2">
        <w:rPr>
          <w:rFonts w:ascii="標楷體" w:eastAsia="標楷體" w:hAnsi="標楷體" w:hint="eastAsia"/>
          <w:b/>
          <w:sz w:val="28"/>
          <w:szCs w:val="28"/>
        </w:rPr>
        <w:t>履約保證金金額：新臺幣</w:t>
      </w:r>
      <w:r w:rsidR="00354FF3">
        <w:rPr>
          <w:rFonts w:ascii="標楷體" w:eastAsia="標楷體" w:hAnsi="標楷體" w:hint="eastAsia"/>
          <w:b/>
          <w:sz w:val="28"/>
          <w:szCs w:val="28"/>
        </w:rPr>
        <w:t>參仟</w:t>
      </w:r>
      <w:r w:rsidRPr="008845A2">
        <w:rPr>
          <w:rFonts w:ascii="標楷體" w:eastAsia="標楷體" w:hAnsi="標楷體" w:hint="eastAsia"/>
          <w:b/>
          <w:sz w:val="28"/>
          <w:szCs w:val="28"/>
        </w:rPr>
        <w:t>元整。</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十八、</w:t>
      </w:r>
      <w:r w:rsidRPr="00DC1BCB">
        <w:rPr>
          <w:rFonts w:ascii="標楷體" w:eastAsia="標楷體" w:hAnsi="標楷體" w:hint="eastAsia"/>
          <w:sz w:val="28"/>
          <w:szCs w:val="28"/>
        </w:rPr>
        <w:tab/>
        <w:t>履約保證金有效期：履約期滿且無待解決事項後無息發還。</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十九、</w:t>
      </w:r>
      <w:r w:rsidRPr="00DC1BCB">
        <w:rPr>
          <w:rFonts w:ascii="標楷體" w:eastAsia="標楷體" w:hAnsi="標楷體" w:hint="eastAsia"/>
          <w:sz w:val="28"/>
          <w:szCs w:val="28"/>
        </w:rPr>
        <w:tab/>
        <w:t>履約保證金繳納期限：決標後15</w:t>
      </w:r>
      <w:r w:rsidR="00802CAD">
        <w:rPr>
          <w:rFonts w:ascii="標楷體" w:eastAsia="標楷體" w:hAnsi="標楷體" w:hint="eastAsia"/>
          <w:sz w:val="28"/>
          <w:szCs w:val="28"/>
        </w:rPr>
        <w:t>日</w:t>
      </w:r>
      <w:r w:rsidRPr="00DC1BCB">
        <w:rPr>
          <w:rFonts w:ascii="標楷體" w:eastAsia="標楷體" w:hAnsi="標楷體" w:hint="eastAsia"/>
          <w:sz w:val="28"/>
          <w:szCs w:val="28"/>
        </w:rPr>
        <w:t>內繳清。</w:t>
      </w:r>
    </w:p>
    <w:p w:rsidR="00DC1BCB" w:rsidRPr="00DC1BCB" w:rsidRDefault="00DC1BCB" w:rsidP="00710D13">
      <w:pPr>
        <w:snapToGrid w:val="0"/>
        <w:spacing w:beforeLines="40" w:before="144" w:afterLines="30" w:after="108" w:line="400" w:lineRule="exact"/>
        <w:ind w:left="980" w:hangingChars="350" w:hanging="980"/>
        <w:mirrorIndents/>
        <w:rPr>
          <w:rFonts w:ascii="標楷體" w:eastAsia="標楷體" w:hAnsi="標楷體"/>
          <w:sz w:val="28"/>
          <w:szCs w:val="28"/>
        </w:rPr>
      </w:pPr>
      <w:r w:rsidRPr="00DC1BCB">
        <w:rPr>
          <w:rFonts w:ascii="標楷體" w:eastAsia="標楷體" w:hAnsi="標楷體" w:hint="eastAsia"/>
          <w:sz w:val="28"/>
          <w:szCs w:val="28"/>
        </w:rPr>
        <w:t>二十、</w:t>
      </w:r>
      <w:r w:rsidRPr="00DC1BCB">
        <w:rPr>
          <w:rFonts w:ascii="標楷體" w:eastAsia="標楷體" w:hAnsi="標楷體" w:hint="eastAsia"/>
          <w:sz w:val="28"/>
          <w:szCs w:val="28"/>
        </w:rPr>
        <w:tab/>
        <w:t>以現金繳納履約保證金之繳納處所或金融機構帳號：</w:t>
      </w:r>
    </w:p>
    <w:p w:rsidR="00DC1BCB" w:rsidRPr="00DC1BCB" w:rsidRDefault="00DC1BCB"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sidRPr="00DC1BCB">
        <w:rPr>
          <w:rFonts w:ascii="標楷體" w:eastAsia="標楷體" w:hAnsi="標楷體" w:hint="eastAsia"/>
          <w:sz w:val="28"/>
          <w:szCs w:val="28"/>
        </w:rPr>
        <w:t>(一</w:t>
      </w:r>
      <w:r w:rsidR="002E5487">
        <w:rPr>
          <w:rFonts w:ascii="標楷體" w:eastAsia="標楷體" w:hAnsi="標楷體" w:hint="eastAsia"/>
          <w:sz w:val="28"/>
          <w:szCs w:val="28"/>
        </w:rPr>
        <w:t>)</w:t>
      </w:r>
      <w:r w:rsidRPr="00DC1BCB">
        <w:rPr>
          <w:rFonts w:ascii="標楷體" w:eastAsia="標楷體" w:hAnsi="標楷體" w:hint="eastAsia"/>
          <w:sz w:val="28"/>
          <w:szCs w:val="28"/>
        </w:rPr>
        <w:t>現金繳納：法務部矯正署桃園監獄總務科出納處。</w:t>
      </w:r>
    </w:p>
    <w:p w:rsidR="00DC1BCB" w:rsidRPr="00DC1BCB" w:rsidRDefault="00DC1BCB"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sidRPr="00DC1BCB">
        <w:rPr>
          <w:rFonts w:ascii="標楷體" w:eastAsia="標楷體" w:hAnsi="標楷體" w:hint="eastAsia"/>
          <w:sz w:val="28"/>
          <w:szCs w:val="28"/>
        </w:rPr>
        <w:t>(二</w:t>
      </w:r>
      <w:r w:rsidR="002E5487">
        <w:rPr>
          <w:rFonts w:ascii="標楷體" w:eastAsia="標楷體" w:hAnsi="標楷體" w:hint="eastAsia"/>
          <w:sz w:val="28"/>
          <w:szCs w:val="28"/>
        </w:rPr>
        <w:t>)</w:t>
      </w:r>
      <w:r w:rsidRPr="00DC1BCB">
        <w:rPr>
          <w:rFonts w:ascii="標楷體" w:eastAsia="標楷體" w:hAnsi="標楷體" w:hint="eastAsia"/>
          <w:sz w:val="28"/>
          <w:szCs w:val="28"/>
        </w:rPr>
        <w:t>金融機構轉帳：</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1.</w:t>
      </w:r>
      <w:r w:rsidR="00DC1BCB" w:rsidRPr="00DC1BCB">
        <w:rPr>
          <w:rFonts w:ascii="標楷體" w:eastAsia="標楷體" w:hAnsi="標楷體" w:hint="eastAsia"/>
          <w:sz w:val="28"/>
          <w:szCs w:val="28"/>
        </w:rPr>
        <w:t>解款行：中央銀行國庫局。</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2.</w:t>
      </w:r>
      <w:r w:rsidR="00DC1BCB" w:rsidRPr="00DC1BCB">
        <w:rPr>
          <w:rFonts w:ascii="標楷體" w:eastAsia="標楷體" w:hAnsi="標楷體" w:hint="eastAsia"/>
          <w:sz w:val="28"/>
          <w:szCs w:val="28"/>
        </w:rPr>
        <w:t>戶  名：法務部矯正署桃園監獄。</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3.</w:t>
      </w:r>
      <w:r w:rsidR="00DC1BCB" w:rsidRPr="00DC1BCB">
        <w:rPr>
          <w:rFonts w:ascii="標楷體" w:eastAsia="標楷體" w:hAnsi="標楷體" w:hint="eastAsia"/>
          <w:sz w:val="28"/>
          <w:szCs w:val="28"/>
        </w:rPr>
        <w:t>帳  號：24231702120028。</w:t>
      </w:r>
    </w:p>
    <w:p w:rsidR="00DC1BCB" w:rsidRPr="00DC1BCB" w:rsidRDefault="002E5487" w:rsidP="00710D13">
      <w:pPr>
        <w:snapToGrid w:val="0"/>
        <w:spacing w:beforeLines="40" w:before="144" w:afterLines="30" w:after="108" w:line="400" w:lineRule="exact"/>
        <w:ind w:leftChars="400" w:left="960" w:rightChars="400" w:right="960"/>
        <w:mirrorIndents/>
        <w:rPr>
          <w:rFonts w:ascii="標楷體" w:eastAsia="標楷體" w:hAnsi="標楷體"/>
          <w:sz w:val="28"/>
          <w:szCs w:val="28"/>
        </w:rPr>
      </w:pPr>
      <w:r>
        <w:rPr>
          <w:rFonts w:ascii="標楷體" w:eastAsia="標楷體" w:hAnsi="標楷體" w:hint="eastAsia"/>
          <w:sz w:val="28"/>
          <w:szCs w:val="28"/>
        </w:rPr>
        <w:t>4.</w:t>
      </w:r>
      <w:r w:rsidR="00DC1BCB" w:rsidRPr="00DC1BCB">
        <w:rPr>
          <w:rFonts w:ascii="標楷體" w:eastAsia="標楷體" w:hAnsi="標楷體" w:hint="eastAsia"/>
          <w:sz w:val="28"/>
          <w:szCs w:val="28"/>
        </w:rPr>
        <w:t>備  註：匯款單請註明（標案名稱）履約保證金。</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二十一、</w:t>
      </w:r>
      <w:r w:rsidRPr="00DC1BCB">
        <w:rPr>
          <w:rFonts w:ascii="標楷體" w:eastAsia="標楷體" w:hAnsi="標楷體" w:hint="eastAsia"/>
          <w:sz w:val="28"/>
          <w:szCs w:val="28"/>
        </w:rPr>
        <w:tab/>
      </w:r>
      <w:r w:rsidRPr="002D73A2">
        <w:rPr>
          <w:rFonts w:ascii="標楷體" w:eastAsia="標楷體" w:hAnsi="標楷體" w:hint="eastAsia"/>
          <w:b/>
          <w:sz w:val="28"/>
          <w:szCs w:val="28"/>
        </w:rPr>
        <w:t>押標金及保證金應由廠商以現金、金融機構簽發之本票或支票、保付支票或郵政匯票繳納</w:t>
      </w:r>
      <w:r w:rsidR="008845A2" w:rsidRPr="002D73A2">
        <w:rPr>
          <w:rFonts w:ascii="標楷體" w:eastAsia="標楷體" w:hAnsi="標楷體" w:hint="eastAsia"/>
          <w:b/>
          <w:sz w:val="28"/>
          <w:szCs w:val="28"/>
        </w:rPr>
        <w:t>，受款人抬頭名稱請註明【法務部矯正署桃園監獄】</w:t>
      </w:r>
      <w:r w:rsidRPr="002D73A2">
        <w:rPr>
          <w:rFonts w:ascii="標楷體" w:eastAsia="標楷體" w:hAnsi="標楷體" w:hint="eastAsia"/>
          <w:b/>
          <w:sz w:val="28"/>
          <w:szCs w:val="28"/>
        </w:rPr>
        <w:t>。</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二十二、</w:t>
      </w:r>
      <w:r w:rsidRPr="00DC1BCB">
        <w:rPr>
          <w:rFonts w:ascii="標楷體" w:eastAsia="標楷體" w:hAnsi="標楷體" w:hint="eastAsia"/>
          <w:sz w:val="28"/>
          <w:szCs w:val="28"/>
        </w:rPr>
        <w:tab/>
        <w:t>廠商有下列情形之一者，其所繳納之押標金，不予發還；其未依招標文件規定繳納或已發還者，並予追繳：</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(一</w:t>
      </w:r>
      <w:r w:rsidR="002E5487">
        <w:rPr>
          <w:rFonts w:ascii="標楷體" w:eastAsia="標楷體" w:hAnsi="標楷體" w:hint="eastAsia"/>
          <w:sz w:val="28"/>
          <w:szCs w:val="28"/>
        </w:rPr>
        <w:t>)</w:t>
      </w:r>
      <w:r w:rsidRPr="00DC1BCB">
        <w:rPr>
          <w:rFonts w:ascii="標楷體" w:eastAsia="標楷體" w:hAnsi="標楷體" w:hint="eastAsia"/>
          <w:sz w:val="28"/>
          <w:szCs w:val="28"/>
        </w:rPr>
        <w:t>以虛偽不實之文件投標。</w:t>
      </w:r>
    </w:p>
    <w:p w:rsidR="00DC1BCB" w:rsidRPr="00DC1BCB" w:rsidRDefault="00DC1BCB" w:rsidP="00710D13">
      <w:pPr>
        <w:adjustRightInd w:val="0"/>
        <w:snapToGrid w:val="0"/>
        <w:spacing w:beforeLines="40" w:before="144" w:afterLines="30" w:after="108" w:line="400" w:lineRule="exact"/>
        <w:ind w:leftChars="400" w:left="1520" w:hangingChars="200" w:hanging="560"/>
        <w:rPr>
          <w:rFonts w:ascii="標楷體" w:eastAsia="標楷體" w:hAnsi="標楷體"/>
          <w:sz w:val="28"/>
          <w:szCs w:val="28"/>
        </w:rPr>
      </w:pPr>
      <w:r w:rsidRPr="00DC1BCB">
        <w:rPr>
          <w:rFonts w:ascii="標楷體" w:eastAsia="標楷體" w:hAnsi="標楷體" w:hint="eastAsia"/>
          <w:sz w:val="28"/>
          <w:szCs w:val="28"/>
        </w:rPr>
        <w:t>(</w:t>
      </w:r>
      <w:r w:rsidR="008845A2">
        <w:rPr>
          <w:rFonts w:ascii="標楷體" w:eastAsia="標楷體" w:hAnsi="標楷體" w:hint="eastAsia"/>
          <w:sz w:val="28"/>
          <w:szCs w:val="28"/>
        </w:rPr>
        <w:t>二</w:t>
      </w:r>
      <w:r w:rsidR="002E5487">
        <w:rPr>
          <w:rFonts w:ascii="標楷體" w:eastAsia="標楷體" w:hAnsi="標楷體" w:hint="eastAsia"/>
          <w:sz w:val="28"/>
          <w:szCs w:val="28"/>
        </w:rPr>
        <w:t>)</w:t>
      </w:r>
      <w:r w:rsidRPr="00DC1BCB">
        <w:rPr>
          <w:rFonts w:ascii="標楷體" w:eastAsia="標楷體" w:hAnsi="標楷體" w:hint="eastAsia"/>
          <w:sz w:val="28"/>
          <w:szCs w:val="28"/>
        </w:rPr>
        <w:t>借用他人名義或證件投標，或容許他人借用本人名義或證件參加投標。</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8845A2">
        <w:rPr>
          <w:rFonts w:ascii="標楷體" w:eastAsia="標楷體" w:hAnsi="標楷體" w:hint="eastAsia"/>
          <w:sz w:val="28"/>
          <w:szCs w:val="28"/>
        </w:rPr>
        <w:t>三</w:t>
      </w:r>
      <w:r w:rsidR="002E5487">
        <w:rPr>
          <w:rFonts w:ascii="標楷體" w:eastAsia="標楷體" w:hAnsi="標楷體" w:hint="eastAsia"/>
          <w:sz w:val="28"/>
          <w:szCs w:val="28"/>
        </w:rPr>
        <w:t>)</w:t>
      </w:r>
      <w:r w:rsidRPr="00DC1BCB">
        <w:rPr>
          <w:rFonts w:ascii="標楷體" w:eastAsia="標楷體" w:hAnsi="標楷體" w:hint="eastAsia"/>
          <w:sz w:val="28"/>
          <w:szCs w:val="28"/>
        </w:rPr>
        <w:t>冒用他人名義或證件投標。</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8845A2">
        <w:rPr>
          <w:rFonts w:ascii="標楷體" w:eastAsia="標楷體" w:hAnsi="標楷體" w:hint="eastAsia"/>
          <w:sz w:val="28"/>
          <w:szCs w:val="28"/>
        </w:rPr>
        <w:t>四</w:t>
      </w:r>
      <w:r w:rsidR="002E5487">
        <w:rPr>
          <w:rFonts w:ascii="標楷體" w:eastAsia="標楷體" w:hAnsi="標楷體" w:hint="eastAsia"/>
          <w:sz w:val="28"/>
          <w:szCs w:val="28"/>
        </w:rPr>
        <w:t>)</w:t>
      </w:r>
      <w:r w:rsidRPr="00DC1BCB">
        <w:rPr>
          <w:rFonts w:ascii="標楷體" w:eastAsia="標楷體" w:hAnsi="標楷體" w:hint="eastAsia"/>
          <w:sz w:val="28"/>
          <w:szCs w:val="28"/>
        </w:rPr>
        <w:t>得標後拒不簽約。</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8845A2">
        <w:rPr>
          <w:rFonts w:ascii="標楷體" w:eastAsia="標楷體" w:hAnsi="標楷體" w:hint="eastAsia"/>
          <w:sz w:val="28"/>
          <w:szCs w:val="28"/>
        </w:rPr>
        <w:t>五</w:t>
      </w:r>
      <w:r w:rsidR="002E5487">
        <w:rPr>
          <w:rFonts w:ascii="標楷體" w:eastAsia="標楷體" w:hAnsi="標楷體" w:hint="eastAsia"/>
          <w:sz w:val="28"/>
          <w:szCs w:val="28"/>
        </w:rPr>
        <w:t>)</w:t>
      </w:r>
      <w:r w:rsidRPr="00DC1BCB">
        <w:rPr>
          <w:rFonts w:ascii="標楷體" w:eastAsia="標楷體" w:hAnsi="標楷體" w:hint="eastAsia"/>
          <w:sz w:val="28"/>
          <w:szCs w:val="28"/>
        </w:rPr>
        <w:t>得標後未於規定期限內，繳足履約保證金或提供擔保。</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8845A2">
        <w:rPr>
          <w:rFonts w:ascii="標楷體" w:eastAsia="標楷體" w:hAnsi="標楷體" w:hint="eastAsia"/>
          <w:sz w:val="28"/>
          <w:szCs w:val="28"/>
        </w:rPr>
        <w:t>六</w:t>
      </w:r>
      <w:r w:rsidR="002E5487">
        <w:rPr>
          <w:rFonts w:ascii="標楷體" w:eastAsia="標楷體" w:hAnsi="標楷體" w:hint="eastAsia"/>
          <w:sz w:val="28"/>
          <w:szCs w:val="28"/>
        </w:rPr>
        <w:t>)</w:t>
      </w:r>
      <w:r w:rsidRPr="00DC1BCB">
        <w:rPr>
          <w:rFonts w:ascii="標楷體" w:eastAsia="標楷體" w:hAnsi="標楷體" w:hint="eastAsia"/>
          <w:sz w:val="28"/>
          <w:szCs w:val="28"/>
        </w:rPr>
        <w:t>對採購有關人員行求、期約或交付不正利益。</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8845A2">
        <w:rPr>
          <w:rFonts w:ascii="標楷體" w:eastAsia="標楷體" w:hAnsi="標楷體" w:hint="eastAsia"/>
          <w:sz w:val="28"/>
          <w:szCs w:val="28"/>
        </w:rPr>
        <w:t>七</w:t>
      </w:r>
      <w:r w:rsidR="002E5487">
        <w:rPr>
          <w:rFonts w:ascii="標楷體" w:eastAsia="標楷體" w:hAnsi="標楷體" w:hint="eastAsia"/>
          <w:sz w:val="28"/>
          <w:szCs w:val="28"/>
        </w:rPr>
        <w:t>)</w:t>
      </w:r>
      <w:r w:rsidRPr="00DC1BCB">
        <w:rPr>
          <w:rFonts w:ascii="標楷體" w:eastAsia="標楷體" w:hAnsi="標楷體" w:hint="eastAsia"/>
          <w:sz w:val="28"/>
          <w:szCs w:val="28"/>
        </w:rPr>
        <w:t>其他經主管機關認定有影響採購公正之違反法令行為者。</w:t>
      </w:r>
    </w:p>
    <w:p w:rsidR="00DC1BCB" w:rsidRPr="00E220BC"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b/>
          <w:sz w:val="28"/>
          <w:szCs w:val="28"/>
        </w:rPr>
      </w:pPr>
      <w:r w:rsidRPr="00DC1BCB">
        <w:rPr>
          <w:rFonts w:ascii="標楷體" w:eastAsia="標楷體" w:hAnsi="標楷體" w:hint="eastAsia"/>
          <w:sz w:val="28"/>
          <w:szCs w:val="28"/>
        </w:rPr>
        <w:t>二十三、</w:t>
      </w:r>
      <w:r w:rsidRPr="00DC1BCB">
        <w:rPr>
          <w:rFonts w:ascii="標楷體" w:eastAsia="標楷體" w:hAnsi="標楷體" w:hint="eastAsia"/>
          <w:sz w:val="28"/>
          <w:szCs w:val="28"/>
        </w:rPr>
        <w:tab/>
        <w:t>本標售案：</w:t>
      </w:r>
      <w:r w:rsidRPr="00E220BC">
        <w:rPr>
          <w:rFonts w:ascii="標楷體" w:eastAsia="標楷體" w:hAnsi="標楷體" w:hint="eastAsia"/>
          <w:b/>
          <w:sz w:val="28"/>
          <w:szCs w:val="28"/>
        </w:rPr>
        <w:t>訂底價，但不公告底價。</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二十四、</w:t>
      </w:r>
      <w:r w:rsidRPr="00DC1BCB">
        <w:rPr>
          <w:rFonts w:ascii="標楷體" w:eastAsia="標楷體" w:hAnsi="標楷體" w:hint="eastAsia"/>
          <w:sz w:val="28"/>
          <w:szCs w:val="28"/>
        </w:rPr>
        <w:tab/>
        <w:t>決標原則：</w:t>
      </w:r>
      <w:r w:rsidRPr="00E220BC">
        <w:rPr>
          <w:rFonts w:ascii="標楷體" w:eastAsia="標楷體" w:hAnsi="標楷體" w:hint="eastAsia"/>
          <w:b/>
          <w:sz w:val="28"/>
          <w:szCs w:val="28"/>
        </w:rPr>
        <w:t>單項投標金額最高且高於底價者得標。</w:t>
      </w:r>
    </w:p>
    <w:p w:rsidR="00DC1BCB" w:rsidRPr="00E220BC"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b/>
          <w:sz w:val="28"/>
          <w:szCs w:val="28"/>
        </w:rPr>
      </w:pPr>
      <w:r w:rsidRPr="00DC1BCB">
        <w:rPr>
          <w:rFonts w:ascii="標楷體" w:eastAsia="標楷體" w:hAnsi="標楷體" w:hint="eastAsia"/>
          <w:sz w:val="28"/>
          <w:szCs w:val="28"/>
        </w:rPr>
        <w:t>二十五、</w:t>
      </w:r>
      <w:r w:rsidRPr="00DC1BCB">
        <w:rPr>
          <w:rFonts w:ascii="標楷體" w:eastAsia="標楷體" w:hAnsi="標楷體" w:hint="eastAsia"/>
          <w:sz w:val="28"/>
          <w:szCs w:val="28"/>
        </w:rPr>
        <w:tab/>
        <w:t>決標方式為：</w:t>
      </w:r>
      <w:r w:rsidRPr="00E220BC">
        <w:rPr>
          <w:rFonts w:ascii="標楷體" w:eastAsia="標楷體" w:hAnsi="標楷體" w:hint="eastAsia"/>
          <w:b/>
          <w:sz w:val="28"/>
          <w:szCs w:val="28"/>
        </w:rPr>
        <w:t>單價決標。</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二十六、</w:t>
      </w:r>
      <w:r w:rsidRPr="00DC1BCB">
        <w:rPr>
          <w:rFonts w:ascii="標楷體" w:eastAsia="標楷體" w:hAnsi="標楷體" w:hint="eastAsia"/>
          <w:sz w:val="28"/>
          <w:szCs w:val="28"/>
        </w:rPr>
        <w:tab/>
        <w:t>投標廠商之基本資格及應附具之證明文件如下：</w:t>
      </w:r>
    </w:p>
    <w:p w:rsidR="00DC1BCB" w:rsidRPr="00DC1BCB" w:rsidRDefault="00DC1BCB" w:rsidP="00710D13">
      <w:pPr>
        <w:adjustRightInd w:val="0"/>
        <w:snapToGrid w:val="0"/>
        <w:spacing w:beforeLines="40" w:before="144" w:afterLines="30" w:after="108" w:line="400" w:lineRule="exact"/>
        <w:ind w:leftChars="400" w:left="1520" w:hangingChars="200" w:hanging="560"/>
        <w:rPr>
          <w:rFonts w:ascii="標楷體" w:eastAsia="標楷體" w:hAnsi="標楷體"/>
          <w:sz w:val="28"/>
          <w:szCs w:val="28"/>
        </w:rPr>
      </w:pPr>
      <w:r w:rsidRPr="00DC1BCB">
        <w:rPr>
          <w:rFonts w:ascii="標楷體" w:eastAsia="標楷體" w:hAnsi="標楷體" w:hint="eastAsia"/>
          <w:sz w:val="28"/>
          <w:szCs w:val="28"/>
        </w:rPr>
        <w:t>(一</w:t>
      </w:r>
      <w:r w:rsidR="002E5487">
        <w:rPr>
          <w:rFonts w:ascii="標楷體" w:eastAsia="標楷體" w:hAnsi="標楷體" w:hint="eastAsia"/>
          <w:sz w:val="28"/>
          <w:szCs w:val="28"/>
        </w:rPr>
        <w:t>)</w:t>
      </w:r>
      <w:r w:rsidRPr="00E220BC">
        <w:rPr>
          <w:rFonts w:ascii="標楷體" w:eastAsia="標楷體" w:hAnsi="標楷體" w:hint="eastAsia"/>
          <w:b/>
          <w:sz w:val="28"/>
          <w:szCs w:val="28"/>
        </w:rPr>
        <w:t>領有地方主管機關核發之廢棄物清除許可證並為合格清除業者及取得桃園市政府環境保護局核發之廢食用油回收工作證</w:t>
      </w:r>
      <w:r w:rsidR="00A826AB" w:rsidRPr="00A826AB">
        <w:rPr>
          <w:rFonts w:ascii="標楷體" w:eastAsia="標楷體" w:hAnsi="標楷體" w:hint="eastAsia"/>
          <w:b/>
          <w:sz w:val="28"/>
          <w:szCs w:val="28"/>
        </w:rPr>
        <w:t>(</w:t>
      </w:r>
      <w:r w:rsidR="001F6545">
        <w:rPr>
          <w:rFonts w:ascii="標楷體" w:eastAsia="標楷體" w:hAnsi="標楷體" w:hint="eastAsia"/>
          <w:b/>
          <w:sz w:val="28"/>
          <w:szCs w:val="28"/>
        </w:rPr>
        <w:t>回收</w:t>
      </w:r>
      <w:r w:rsidR="00A826AB" w:rsidRPr="00A826AB">
        <w:rPr>
          <w:rFonts w:ascii="標楷體" w:eastAsia="標楷體" w:hAnsi="標楷體" w:hint="eastAsia"/>
          <w:b/>
          <w:sz w:val="28"/>
          <w:szCs w:val="28"/>
        </w:rPr>
        <w:t>車輛及</w:t>
      </w:r>
      <w:r w:rsidR="001F6545">
        <w:rPr>
          <w:rFonts w:ascii="標楷體" w:eastAsia="標楷體" w:hAnsi="標楷體" w:hint="eastAsia"/>
          <w:b/>
          <w:sz w:val="28"/>
          <w:szCs w:val="28"/>
        </w:rPr>
        <w:t>工作</w:t>
      </w:r>
      <w:r w:rsidR="00A826AB" w:rsidRPr="00A826AB">
        <w:rPr>
          <w:rFonts w:ascii="標楷體" w:eastAsia="標楷體" w:hAnsi="標楷體" w:hint="eastAsia"/>
          <w:b/>
          <w:sz w:val="28"/>
          <w:szCs w:val="28"/>
        </w:rPr>
        <w:t>人員)</w:t>
      </w:r>
      <w:r w:rsidRPr="00E220BC">
        <w:rPr>
          <w:rFonts w:ascii="標楷體" w:eastAsia="標楷體" w:hAnsi="標楷體" w:hint="eastAsia"/>
          <w:b/>
          <w:sz w:val="28"/>
          <w:szCs w:val="28"/>
        </w:rPr>
        <w:t xml:space="preserve">及廢油流向證明。         </w:t>
      </w:r>
      <w:r w:rsidRPr="00DC1BCB">
        <w:rPr>
          <w:rFonts w:ascii="標楷體" w:eastAsia="標楷體" w:hAnsi="標楷體" w:hint="eastAsia"/>
          <w:sz w:val="28"/>
          <w:szCs w:val="28"/>
        </w:rPr>
        <w:t xml:space="preserve">                                </w:t>
      </w:r>
    </w:p>
    <w:p w:rsidR="00DC1BCB" w:rsidRPr="00E220BC" w:rsidRDefault="00DC1BCB" w:rsidP="00710D13">
      <w:pPr>
        <w:adjustRightInd w:val="0"/>
        <w:snapToGrid w:val="0"/>
        <w:spacing w:beforeLines="40" w:before="144" w:afterLines="30" w:after="108" w:line="400" w:lineRule="exact"/>
        <w:ind w:leftChars="400" w:left="960"/>
        <w:rPr>
          <w:rFonts w:ascii="標楷體" w:eastAsia="標楷體" w:hAnsi="標楷體"/>
          <w:b/>
          <w:sz w:val="28"/>
          <w:szCs w:val="28"/>
        </w:rPr>
      </w:pPr>
      <w:r w:rsidRPr="00DC1BCB">
        <w:rPr>
          <w:rFonts w:ascii="標楷體" w:eastAsia="標楷體" w:hAnsi="標楷體" w:hint="eastAsia"/>
          <w:sz w:val="28"/>
          <w:szCs w:val="28"/>
        </w:rPr>
        <w:t>(</w:t>
      </w:r>
      <w:r w:rsidR="00E220BC">
        <w:rPr>
          <w:rFonts w:ascii="標楷體" w:eastAsia="標楷體" w:hAnsi="標楷體" w:hint="eastAsia"/>
          <w:sz w:val="28"/>
          <w:szCs w:val="28"/>
        </w:rPr>
        <w:t>二</w:t>
      </w:r>
      <w:r w:rsidRPr="00DC1BCB">
        <w:rPr>
          <w:rFonts w:ascii="標楷體" w:eastAsia="標楷體" w:hAnsi="標楷體" w:hint="eastAsia"/>
          <w:sz w:val="28"/>
          <w:szCs w:val="28"/>
        </w:rPr>
        <w:t>)</w:t>
      </w:r>
      <w:r w:rsidRPr="00E220BC">
        <w:rPr>
          <w:rFonts w:ascii="標楷體" w:eastAsia="標楷體" w:hAnsi="標楷體" w:hint="eastAsia"/>
          <w:b/>
          <w:sz w:val="28"/>
          <w:szCs w:val="28"/>
        </w:rPr>
        <w:t>廠商登記或設立之證明。</w:t>
      </w:r>
    </w:p>
    <w:p w:rsidR="00DC1BCB" w:rsidRPr="00DC1BCB" w:rsidRDefault="00DC1BCB" w:rsidP="00710D13">
      <w:pPr>
        <w:adjustRightInd w:val="0"/>
        <w:snapToGrid w:val="0"/>
        <w:spacing w:beforeLines="40" w:before="144" w:afterLines="30" w:after="108" w:line="400" w:lineRule="exact"/>
        <w:ind w:leftChars="400" w:left="1520" w:hangingChars="200" w:hanging="560"/>
        <w:rPr>
          <w:rFonts w:ascii="標楷體" w:eastAsia="標楷體" w:hAnsi="標楷體"/>
          <w:sz w:val="28"/>
          <w:szCs w:val="28"/>
        </w:rPr>
      </w:pPr>
      <w:r w:rsidRPr="00DC1BCB">
        <w:rPr>
          <w:rFonts w:ascii="標楷體" w:eastAsia="標楷體" w:hAnsi="標楷體" w:hint="eastAsia"/>
          <w:sz w:val="28"/>
          <w:szCs w:val="28"/>
        </w:rPr>
        <w:t>(</w:t>
      </w:r>
      <w:r w:rsidR="00E220BC">
        <w:rPr>
          <w:rFonts w:ascii="標楷體" w:eastAsia="標楷體" w:hAnsi="標楷體" w:hint="eastAsia"/>
          <w:sz w:val="28"/>
          <w:szCs w:val="28"/>
        </w:rPr>
        <w:t>三</w:t>
      </w:r>
      <w:r w:rsidR="002E5487">
        <w:rPr>
          <w:rFonts w:ascii="標楷體" w:eastAsia="標楷體" w:hAnsi="標楷體" w:hint="eastAsia"/>
          <w:sz w:val="28"/>
          <w:szCs w:val="28"/>
        </w:rPr>
        <w:t>)</w:t>
      </w:r>
      <w:r w:rsidRPr="00E220BC">
        <w:rPr>
          <w:rFonts w:ascii="標楷體" w:eastAsia="標楷體" w:hAnsi="標楷體" w:hint="eastAsia"/>
          <w:b/>
          <w:sz w:val="28"/>
          <w:szCs w:val="28"/>
        </w:rPr>
        <w:t>廠商納稅之證明。</w:t>
      </w:r>
      <w:r w:rsidRPr="00DC1BCB">
        <w:rPr>
          <w:rFonts w:ascii="標楷體" w:eastAsia="標楷體" w:hAnsi="標楷體" w:hint="eastAsia"/>
          <w:sz w:val="28"/>
          <w:szCs w:val="28"/>
        </w:rPr>
        <w:t>(廠商不及提出最近一期證明者，得以前一期之納稅證明代之。新設立且未屆第一期營業稅繳納期限者，得以營業稅主管稽徵機關核發之核准設立登記公函代之。)</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二十七、</w:t>
      </w:r>
      <w:r w:rsidRPr="00DC1BCB">
        <w:rPr>
          <w:rFonts w:ascii="標楷體" w:eastAsia="標楷體" w:hAnsi="標楷體" w:hint="eastAsia"/>
          <w:sz w:val="28"/>
          <w:szCs w:val="28"/>
        </w:rPr>
        <w:tab/>
        <w:t>廠商所提出之資格文件影本，本機關於必要時得通知廠商限期提出正本供查驗，查驗結果如與正本不符，係偽造或變造者，取消得標資格。</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二十八、</w:t>
      </w:r>
      <w:r w:rsidRPr="00DC1BCB">
        <w:rPr>
          <w:rFonts w:ascii="標楷體" w:eastAsia="標楷體" w:hAnsi="標楷體" w:hint="eastAsia"/>
          <w:sz w:val="28"/>
          <w:szCs w:val="28"/>
        </w:rPr>
        <w:tab/>
        <w:t>標售標的之功能、效益、規格、標準、數量或場所等說明及得標廠商應履行之契約責任：由招標機關另備如附件。</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二十九、</w:t>
      </w:r>
      <w:r w:rsidRPr="00DC1BCB">
        <w:rPr>
          <w:rFonts w:ascii="標楷體" w:eastAsia="標楷體" w:hAnsi="標楷體" w:hint="eastAsia"/>
          <w:sz w:val="28"/>
          <w:szCs w:val="28"/>
        </w:rPr>
        <w:tab/>
        <w:t>投標廠商提貨方式：接獲本監收取廢食用油電話通知起</w:t>
      </w:r>
      <w:r w:rsidRPr="00E220BC">
        <w:rPr>
          <w:rFonts w:ascii="標楷體" w:eastAsia="標楷體" w:hAnsi="標楷體" w:hint="eastAsia"/>
          <w:b/>
          <w:sz w:val="28"/>
          <w:szCs w:val="28"/>
        </w:rPr>
        <w:t>7日內</w:t>
      </w:r>
      <w:r w:rsidRPr="00DC1BCB">
        <w:rPr>
          <w:rFonts w:ascii="標楷體" w:eastAsia="標楷體" w:hAnsi="標楷體" w:hint="eastAsia"/>
          <w:sz w:val="28"/>
          <w:szCs w:val="28"/>
        </w:rPr>
        <w:t>須前來裝載，</w:t>
      </w:r>
      <w:r w:rsidRPr="00A85FF2">
        <w:rPr>
          <w:rFonts w:ascii="標楷體" w:eastAsia="標楷體" w:hAnsi="標楷體" w:hint="eastAsia"/>
          <w:b/>
          <w:sz w:val="28"/>
          <w:szCs w:val="28"/>
        </w:rPr>
        <w:t>裝載時間為：9時至11時或14時至16時前至本監載運。</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三十、</w:t>
      </w:r>
      <w:r w:rsidRPr="00DC1BCB">
        <w:rPr>
          <w:rFonts w:ascii="標楷體" w:eastAsia="標楷體" w:hAnsi="標楷體" w:hint="eastAsia"/>
          <w:sz w:val="28"/>
          <w:szCs w:val="28"/>
        </w:rPr>
        <w:tab/>
        <w:t>投標廠商標價幣別：新臺幣。</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三十一、</w:t>
      </w:r>
      <w:r w:rsidRPr="00DC1BCB">
        <w:rPr>
          <w:rFonts w:ascii="標楷體" w:eastAsia="標楷體" w:hAnsi="標楷體" w:hint="eastAsia"/>
          <w:sz w:val="28"/>
          <w:szCs w:val="28"/>
        </w:rPr>
        <w:tab/>
      </w:r>
      <w:r w:rsidRPr="000317C4">
        <w:rPr>
          <w:rFonts w:ascii="標楷體" w:eastAsia="標楷體" w:hAnsi="標楷體" w:hint="eastAsia"/>
          <w:b/>
          <w:color w:val="FF0000"/>
          <w:sz w:val="28"/>
          <w:szCs w:val="28"/>
        </w:rPr>
        <w:t>全份招標文件包括：</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(一</w:t>
      </w:r>
      <w:r w:rsidR="002E5487">
        <w:rPr>
          <w:rFonts w:ascii="標楷體" w:eastAsia="標楷體" w:hAnsi="標楷體" w:hint="eastAsia"/>
          <w:sz w:val="28"/>
          <w:szCs w:val="28"/>
        </w:rPr>
        <w:t>)</w:t>
      </w:r>
      <w:r w:rsidRPr="00DC1BCB">
        <w:rPr>
          <w:rFonts w:ascii="標楷體" w:eastAsia="標楷體" w:hAnsi="標楷體" w:hint="eastAsia"/>
          <w:sz w:val="28"/>
          <w:szCs w:val="28"/>
        </w:rPr>
        <w:t>投標須知。</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E220BC">
        <w:rPr>
          <w:rFonts w:ascii="標楷體" w:eastAsia="標楷體" w:hAnsi="標楷體" w:hint="eastAsia"/>
          <w:sz w:val="28"/>
          <w:szCs w:val="28"/>
        </w:rPr>
        <w:t>二</w:t>
      </w:r>
      <w:r w:rsidR="002E5487">
        <w:rPr>
          <w:rFonts w:ascii="標楷體" w:eastAsia="標楷體" w:hAnsi="標楷體" w:hint="eastAsia"/>
          <w:sz w:val="28"/>
          <w:szCs w:val="28"/>
        </w:rPr>
        <w:t>)</w:t>
      </w:r>
      <w:r w:rsidRPr="00DC1BCB">
        <w:rPr>
          <w:rFonts w:ascii="標楷體" w:eastAsia="標楷體" w:hAnsi="標楷體" w:hint="eastAsia"/>
          <w:sz w:val="28"/>
          <w:szCs w:val="28"/>
        </w:rPr>
        <w:t>標價清單。</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E220BC">
        <w:rPr>
          <w:rFonts w:ascii="標楷體" w:eastAsia="標楷體" w:hAnsi="標楷體" w:hint="eastAsia"/>
          <w:sz w:val="28"/>
          <w:szCs w:val="28"/>
        </w:rPr>
        <w:t>三</w:t>
      </w:r>
      <w:r w:rsidR="002E5487">
        <w:rPr>
          <w:rFonts w:ascii="標楷體" w:eastAsia="標楷體" w:hAnsi="標楷體" w:hint="eastAsia"/>
          <w:sz w:val="28"/>
          <w:szCs w:val="28"/>
        </w:rPr>
        <w:t>)</w:t>
      </w:r>
      <w:r w:rsidRPr="00DC1BCB">
        <w:rPr>
          <w:rFonts w:ascii="標楷體" w:eastAsia="標楷體" w:hAnsi="標楷體" w:hint="eastAsia"/>
          <w:sz w:val="28"/>
          <w:szCs w:val="28"/>
        </w:rPr>
        <w:t>契約條款。</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E220BC">
        <w:rPr>
          <w:rFonts w:ascii="標楷體" w:eastAsia="標楷體" w:hAnsi="標楷體" w:hint="eastAsia"/>
          <w:sz w:val="28"/>
          <w:szCs w:val="28"/>
        </w:rPr>
        <w:t>四</w:t>
      </w:r>
      <w:r w:rsidR="002E5487">
        <w:rPr>
          <w:rFonts w:ascii="標楷體" w:eastAsia="標楷體" w:hAnsi="標楷體" w:hint="eastAsia"/>
          <w:sz w:val="28"/>
          <w:szCs w:val="28"/>
        </w:rPr>
        <w:t>)</w:t>
      </w:r>
      <w:r w:rsidRPr="00DC1BCB">
        <w:rPr>
          <w:rFonts w:ascii="標楷體" w:eastAsia="標楷體" w:hAnsi="標楷體" w:hint="eastAsia"/>
          <w:sz w:val="28"/>
          <w:szCs w:val="28"/>
        </w:rPr>
        <w:t>資格及應備文件審查表。</w:t>
      </w:r>
    </w:p>
    <w:p w:rsid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E220BC">
        <w:rPr>
          <w:rFonts w:ascii="標楷體" w:eastAsia="標楷體" w:hAnsi="標楷體" w:hint="eastAsia"/>
          <w:sz w:val="28"/>
          <w:szCs w:val="28"/>
        </w:rPr>
        <w:t>五</w:t>
      </w:r>
      <w:r w:rsidR="002E5487">
        <w:rPr>
          <w:rFonts w:ascii="標楷體" w:eastAsia="標楷體" w:hAnsi="標楷體" w:hint="eastAsia"/>
          <w:sz w:val="28"/>
          <w:szCs w:val="28"/>
        </w:rPr>
        <w:t>)</w:t>
      </w:r>
      <w:r w:rsidRPr="00DC1BCB">
        <w:rPr>
          <w:rFonts w:ascii="標楷體" w:eastAsia="標楷體" w:hAnsi="標楷體" w:hint="eastAsia"/>
          <w:sz w:val="28"/>
          <w:szCs w:val="28"/>
        </w:rPr>
        <w:t>委託代理出席授權書。</w:t>
      </w:r>
    </w:p>
    <w:p w:rsidR="00AB44B7" w:rsidRPr="00DC1BCB" w:rsidRDefault="00AB44B7" w:rsidP="00710D13">
      <w:pPr>
        <w:adjustRightInd w:val="0"/>
        <w:snapToGrid w:val="0"/>
        <w:spacing w:beforeLines="40" w:before="144" w:afterLines="30" w:after="108" w:line="400" w:lineRule="exact"/>
        <w:ind w:leftChars="400" w:left="960"/>
        <w:rPr>
          <w:rFonts w:ascii="標楷體" w:eastAsia="標楷體" w:hAnsi="標楷體"/>
          <w:sz w:val="28"/>
          <w:szCs w:val="28"/>
        </w:rPr>
      </w:pPr>
      <w:r>
        <w:rPr>
          <w:rFonts w:ascii="標楷體" w:eastAsia="標楷體" w:hAnsi="標楷體" w:hint="eastAsia"/>
          <w:sz w:val="28"/>
          <w:szCs w:val="28"/>
        </w:rPr>
        <w:t>(六)押標金-以現金繳納方式收據單。</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AB44B7">
        <w:rPr>
          <w:rFonts w:ascii="標楷體" w:eastAsia="標楷體" w:hAnsi="標楷體" w:hint="eastAsia"/>
          <w:sz w:val="28"/>
          <w:szCs w:val="28"/>
        </w:rPr>
        <w:t>七</w:t>
      </w:r>
      <w:r w:rsidR="002E5487">
        <w:rPr>
          <w:rFonts w:ascii="標楷體" w:eastAsia="標楷體" w:hAnsi="標楷體" w:hint="eastAsia"/>
          <w:sz w:val="28"/>
          <w:szCs w:val="28"/>
        </w:rPr>
        <w:t>)</w:t>
      </w:r>
      <w:r w:rsidRPr="00DC1BCB">
        <w:rPr>
          <w:rFonts w:ascii="標楷體" w:eastAsia="標楷體" w:hAnsi="標楷體" w:hint="eastAsia"/>
          <w:sz w:val="28"/>
          <w:szCs w:val="28"/>
        </w:rPr>
        <w:t>退還押標金申請書。</w:t>
      </w:r>
    </w:p>
    <w:p w:rsidR="00DC1BCB" w:rsidRPr="00DC1BCB" w:rsidRDefault="00DC1BCB" w:rsidP="00710D13">
      <w:pPr>
        <w:adjustRightInd w:val="0"/>
        <w:snapToGrid w:val="0"/>
        <w:spacing w:beforeLines="40" w:before="144" w:afterLines="30" w:after="108" w:line="400" w:lineRule="exact"/>
        <w:ind w:leftChars="400" w:left="960"/>
        <w:rPr>
          <w:rFonts w:ascii="標楷體" w:eastAsia="標楷體" w:hAnsi="標楷體"/>
          <w:sz w:val="28"/>
          <w:szCs w:val="28"/>
        </w:rPr>
      </w:pPr>
      <w:r w:rsidRPr="00DC1BCB">
        <w:rPr>
          <w:rFonts w:ascii="標楷體" w:eastAsia="標楷體" w:hAnsi="標楷體" w:hint="eastAsia"/>
          <w:sz w:val="28"/>
          <w:szCs w:val="28"/>
        </w:rPr>
        <w:t>(</w:t>
      </w:r>
      <w:r w:rsidR="00AB44B7">
        <w:rPr>
          <w:rFonts w:ascii="標楷體" w:eastAsia="標楷體" w:hAnsi="標楷體" w:hint="eastAsia"/>
          <w:sz w:val="28"/>
          <w:szCs w:val="28"/>
        </w:rPr>
        <w:t>八</w:t>
      </w:r>
      <w:r w:rsidR="002E5487">
        <w:rPr>
          <w:rFonts w:ascii="標楷體" w:eastAsia="標楷體" w:hAnsi="標楷體" w:hint="eastAsia"/>
          <w:sz w:val="28"/>
          <w:szCs w:val="28"/>
        </w:rPr>
        <w:t>)</w:t>
      </w:r>
      <w:r w:rsidR="00C50724">
        <w:rPr>
          <w:rFonts w:ascii="標楷體" w:eastAsia="標楷體" w:hAnsi="標楷體" w:hint="eastAsia"/>
          <w:sz w:val="28"/>
          <w:szCs w:val="28"/>
        </w:rPr>
        <w:t>標封</w:t>
      </w:r>
      <w:r w:rsidRPr="00DC1BCB">
        <w:rPr>
          <w:rFonts w:ascii="標楷體" w:eastAsia="標楷體" w:hAnsi="標楷體" w:hint="eastAsia"/>
          <w:sz w:val="28"/>
          <w:szCs w:val="28"/>
        </w:rPr>
        <w:t>封面。</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三十二、</w:t>
      </w:r>
      <w:r w:rsidRPr="00DC1BCB">
        <w:rPr>
          <w:rFonts w:ascii="標楷體" w:eastAsia="標楷體" w:hAnsi="標楷體" w:hint="eastAsia"/>
          <w:sz w:val="28"/>
          <w:szCs w:val="28"/>
        </w:rPr>
        <w:tab/>
        <w:t>廠商應依規定填妥（不得使用鉛筆）本招標文件所附標價清單，連同資格文件及招標文件所規定之其他文件，密封後投標。</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三十三、</w:t>
      </w:r>
      <w:r w:rsidRPr="00DC1BCB">
        <w:rPr>
          <w:rFonts w:ascii="標楷體" w:eastAsia="標楷體" w:hAnsi="標楷體" w:hint="eastAsia"/>
          <w:sz w:val="28"/>
          <w:szCs w:val="28"/>
        </w:rPr>
        <w:tab/>
        <w:t>領取標件方式：</w:t>
      </w:r>
    </w:p>
    <w:p w:rsidR="00DC1BCB" w:rsidRPr="00DC1BCB" w:rsidRDefault="00DC1BCB" w:rsidP="00710D13">
      <w:pPr>
        <w:adjustRightInd w:val="0"/>
        <w:snapToGrid w:val="0"/>
        <w:spacing w:beforeLines="40" w:before="144" w:afterLines="30" w:after="108" w:line="400" w:lineRule="exact"/>
        <w:ind w:leftChars="400" w:left="1520" w:hangingChars="200" w:hanging="560"/>
        <w:rPr>
          <w:rFonts w:ascii="標楷體" w:eastAsia="標楷體" w:hAnsi="標楷體"/>
          <w:sz w:val="28"/>
          <w:szCs w:val="28"/>
        </w:rPr>
      </w:pPr>
      <w:r w:rsidRPr="00DC1BCB">
        <w:rPr>
          <w:rFonts w:ascii="標楷體" w:eastAsia="標楷體" w:hAnsi="標楷體" w:hint="eastAsia"/>
          <w:sz w:val="28"/>
          <w:szCs w:val="28"/>
        </w:rPr>
        <w:t>(一</w:t>
      </w:r>
      <w:r w:rsidR="002E5487">
        <w:rPr>
          <w:rFonts w:ascii="標楷體" w:eastAsia="標楷體" w:hAnsi="標楷體" w:hint="eastAsia"/>
          <w:sz w:val="28"/>
          <w:szCs w:val="28"/>
        </w:rPr>
        <w:t>)</w:t>
      </w:r>
      <w:r w:rsidRPr="00DC1BCB">
        <w:rPr>
          <w:rFonts w:ascii="標楷體" w:eastAsia="標楷體" w:hAnsi="標楷體" w:hint="eastAsia"/>
          <w:sz w:val="28"/>
          <w:szCs w:val="28"/>
        </w:rPr>
        <w:t>自取：凡具投標資格之廠商，於公告期間內並於辦公時間內以無記名方式至本監總務科領取。</w:t>
      </w:r>
    </w:p>
    <w:p w:rsidR="00DC1BCB" w:rsidRPr="002E5487" w:rsidRDefault="00DC1BCB" w:rsidP="00710D13">
      <w:pPr>
        <w:adjustRightInd w:val="0"/>
        <w:snapToGrid w:val="0"/>
        <w:spacing w:beforeLines="40" w:before="144" w:afterLines="30" w:after="108" w:line="400" w:lineRule="exact"/>
        <w:ind w:leftChars="400" w:left="1520" w:hangingChars="200" w:hanging="560"/>
        <w:rPr>
          <w:rFonts w:ascii="標楷體" w:eastAsia="標楷體" w:hAnsi="標楷體"/>
          <w:sz w:val="28"/>
          <w:szCs w:val="28"/>
        </w:rPr>
      </w:pPr>
      <w:r w:rsidRPr="002E5487">
        <w:rPr>
          <w:rFonts w:ascii="標楷體" w:eastAsia="標楷體" w:hAnsi="標楷體" w:hint="eastAsia"/>
          <w:sz w:val="28"/>
          <w:szCs w:val="28"/>
        </w:rPr>
        <w:t>(</w:t>
      </w:r>
      <w:r w:rsidR="00D13236" w:rsidRPr="002E5487">
        <w:rPr>
          <w:rFonts w:ascii="標楷體" w:eastAsia="標楷體" w:hAnsi="標楷體" w:hint="eastAsia"/>
          <w:sz w:val="28"/>
          <w:szCs w:val="28"/>
        </w:rPr>
        <w:t>二</w:t>
      </w:r>
      <w:r w:rsidR="002E5487" w:rsidRPr="002E5487">
        <w:rPr>
          <w:rFonts w:ascii="標楷體" w:eastAsia="標楷體" w:hAnsi="標楷體" w:hint="eastAsia"/>
          <w:sz w:val="28"/>
          <w:szCs w:val="28"/>
        </w:rPr>
        <w:t>)</w:t>
      </w:r>
      <w:r w:rsidRPr="002E5487">
        <w:rPr>
          <w:rFonts w:ascii="標楷體" w:eastAsia="標楷體" w:hAnsi="標楷體" w:hint="eastAsia"/>
          <w:sz w:val="28"/>
          <w:szCs w:val="28"/>
        </w:rPr>
        <w:t>自行下載：至本監網站(</w:t>
      </w:r>
      <w:hyperlink r:id="rId7" w:history="1">
        <w:r w:rsidR="002E5487" w:rsidRPr="002E5487">
          <w:rPr>
            <w:rStyle w:val="a4"/>
            <w:rFonts w:ascii="標楷體" w:eastAsia="標楷體" w:hAnsi="標楷體" w:hint="eastAsia"/>
            <w:color w:val="auto"/>
            <w:sz w:val="28"/>
            <w:szCs w:val="28"/>
          </w:rPr>
          <w:t>https://www.typ.moj.gov.tw/)</w:t>
        </w:r>
        <w:r w:rsidR="002E5487" w:rsidRPr="002E5487">
          <w:rPr>
            <w:rStyle w:val="a4"/>
            <w:rFonts w:ascii="標楷體" w:eastAsia="標楷體" w:hAnsi="標楷體" w:hint="eastAsia"/>
            <w:color w:val="auto"/>
            <w:sz w:val="28"/>
            <w:szCs w:val="28"/>
            <w:u w:val="none"/>
          </w:rPr>
          <w:t>「電子公佈</w:t>
        </w:r>
      </w:hyperlink>
      <w:r w:rsidR="00E220BC" w:rsidRPr="002E5487">
        <w:rPr>
          <w:rFonts w:ascii="標楷體" w:eastAsia="標楷體" w:hAnsi="標楷體" w:hint="eastAsia"/>
          <w:sz w:val="28"/>
          <w:szCs w:val="28"/>
        </w:rPr>
        <w:t>欄」</w:t>
      </w:r>
      <w:r w:rsidRPr="002E5487">
        <w:rPr>
          <w:rFonts w:ascii="標楷體" w:eastAsia="標楷體" w:hAnsi="標楷體" w:hint="eastAsia"/>
          <w:sz w:val="28"/>
          <w:szCs w:val="28"/>
        </w:rPr>
        <w:t>下載。</w:t>
      </w:r>
    </w:p>
    <w:p w:rsidR="00DC1BCB" w:rsidRPr="00DC1BCB"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三十四、</w:t>
      </w:r>
      <w:r w:rsidRPr="00DC1BCB">
        <w:rPr>
          <w:rFonts w:ascii="標楷體" w:eastAsia="標楷體" w:hAnsi="標楷體" w:hint="eastAsia"/>
          <w:sz w:val="28"/>
          <w:szCs w:val="28"/>
        </w:rPr>
        <w:tab/>
        <w:t>投標文件須於</w:t>
      </w:r>
      <w:r w:rsidRPr="00E220BC">
        <w:rPr>
          <w:rFonts w:ascii="標楷體" w:eastAsia="標楷體" w:hAnsi="標楷體" w:hint="eastAsia"/>
          <w:b/>
          <w:color w:val="FF0000"/>
          <w:sz w:val="28"/>
          <w:szCs w:val="28"/>
        </w:rPr>
        <w:t>11</w:t>
      </w:r>
      <w:r w:rsidR="00E220BC" w:rsidRPr="00E220BC">
        <w:rPr>
          <w:rFonts w:ascii="標楷體" w:eastAsia="標楷體" w:hAnsi="標楷體"/>
          <w:b/>
          <w:color w:val="FF0000"/>
          <w:sz w:val="28"/>
          <w:szCs w:val="28"/>
        </w:rPr>
        <w:t>4</w:t>
      </w:r>
      <w:r w:rsidRPr="00E220BC">
        <w:rPr>
          <w:rFonts w:ascii="標楷體" w:eastAsia="標楷體" w:hAnsi="標楷體" w:hint="eastAsia"/>
          <w:b/>
          <w:color w:val="FF0000"/>
          <w:sz w:val="28"/>
          <w:szCs w:val="28"/>
        </w:rPr>
        <w:t>年12月</w:t>
      </w:r>
      <w:r w:rsidR="007A0496">
        <w:rPr>
          <w:rFonts w:ascii="標楷體" w:eastAsia="標楷體" w:hAnsi="標楷體"/>
          <w:b/>
          <w:color w:val="FF0000"/>
          <w:sz w:val="28"/>
          <w:szCs w:val="28"/>
        </w:rPr>
        <w:t>10</w:t>
      </w:r>
      <w:r w:rsidRPr="00E220BC">
        <w:rPr>
          <w:rFonts w:ascii="標楷體" w:eastAsia="標楷體" w:hAnsi="標楷體" w:hint="eastAsia"/>
          <w:b/>
          <w:color w:val="FF0000"/>
          <w:sz w:val="28"/>
          <w:szCs w:val="28"/>
        </w:rPr>
        <w:t>日下午5時0分前</w:t>
      </w:r>
      <w:r w:rsidRPr="00DC1BCB">
        <w:rPr>
          <w:rFonts w:ascii="標楷體" w:eastAsia="標楷體" w:hAnsi="標楷體" w:hint="eastAsia"/>
          <w:sz w:val="28"/>
          <w:szCs w:val="28"/>
        </w:rPr>
        <w:t>，以郵遞或專人送達方式送達至下列收件地點：本監收發室(桃園市桃</w:t>
      </w:r>
      <w:bookmarkStart w:id="0" w:name="_GoBack"/>
      <w:bookmarkEnd w:id="0"/>
      <w:r w:rsidRPr="00DC1BCB">
        <w:rPr>
          <w:rFonts w:ascii="標楷體" w:eastAsia="標楷體" w:hAnsi="標楷體" w:hint="eastAsia"/>
          <w:sz w:val="28"/>
          <w:szCs w:val="28"/>
        </w:rPr>
        <w:t>園區延壽街158號)。</w:t>
      </w:r>
    </w:p>
    <w:p w:rsidR="00854CA0" w:rsidRDefault="00DC1BCB"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r w:rsidRPr="00DC1BCB">
        <w:rPr>
          <w:rFonts w:ascii="標楷體" w:eastAsia="標楷體" w:hAnsi="標楷體" w:hint="eastAsia"/>
          <w:sz w:val="28"/>
          <w:szCs w:val="28"/>
        </w:rPr>
        <w:t>三十五、</w:t>
      </w:r>
      <w:r w:rsidRPr="00DC1BCB">
        <w:rPr>
          <w:rFonts w:ascii="標楷體" w:eastAsia="標楷體" w:hAnsi="標楷體" w:hint="eastAsia"/>
          <w:sz w:val="28"/>
          <w:szCs w:val="28"/>
        </w:rPr>
        <w:tab/>
        <w:t>本須知未載明之事項，依相關法令辦</w:t>
      </w:r>
      <w:r w:rsidR="00FE0046">
        <w:rPr>
          <w:rFonts w:ascii="標楷體" w:eastAsia="標楷體" w:hAnsi="標楷體" w:hint="eastAsia"/>
          <w:sz w:val="28"/>
          <w:szCs w:val="28"/>
        </w:rPr>
        <w:t>理。</w:t>
      </w:r>
    </w:p>
    <w:p w:rsidR="00854CA0" w:rsidRDefault="00854CA0"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r>
        <w:rPr>
          <w:rFonts w:ascii="標楷體" w:eastAsia="標楷體" w:hAnsi="標楷體" w:hint="eastAsia"/>
          <w:sz w:val="28"/>
          <w:szCs w:val="28"/>
        </w:rPr>
        <w:t>三十六、</w:t>
      </w:r>
      <w:r>
        <w:rPr>
          <w:rFonts w:ascii="標楷體" w:eastAsia="標楷體" w:hAnsi="標楷體"/>
          <w:sz w:val="28"/>
          <w:szCs w:val="28"/>
        </w:rPr>
        <w:t xml:space="preserve"> </w:t>
      </w:r>
      <w:r>
        <w:rPr>
          <w:rFonts w:ascii="標楷體" w:eastAsia="標楷體" w:hAnsi="標楷體" w:hint="eastAsia"/>
          <w:sz w:val="28"/>
          <w:szCs w:val="28"/>
        </w:rPr>
        <w:t>為維護本機關(含適用機關)戒護安全管理及人員，車輛進入各機關大門管制區均應配合檢(調)查，並應</w:t>
      </w:r>
      <w:r w:rsidRPr="0015632D">
        <w:rPr>
          <w:rFonts w:ascii="標楷體" w:eastAsia="標楷體" w:hAnsi="標楷體" w:hint="eastAsia"/>
          <w:kern w:val="0"/>
          <w:sz w:val="28"/>
          <w:szCs w:val="20"/>
        </w:rPr>
        <w:t>遵守</w:t>
      </w:r>
      <w:r>
        <w:rPr>
          <w:rFonts w:ascii="標楷體" w:eastAsia="標楷體" w:hAnsi="標楷體" w:hint="eastAsia"/>
          <w:kern w:val="0"/>
          <w:sz w:val="28"/>
          <w:szCs w:val="20"/>
        </w:rPr>
        <w:t>各機關安全管理規定，不得攜帶違禁物品進入(詳後表)。</w:t>
      </w: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kern w:val="0"/>
          <w:sz w:val="28"/>
          <w:szCs w:val="20"/>
        </w:rPr>
      </w:pPr>
    </w:p>
    <w:p w:rsidR="00710D13" w:rsidRDefault="00710D13"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p>
    <w:p w:rsidR="002B5104" w:rsidRDefault="002B5104"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p>
    <w:p w:rsidR="002B5104" w:rsidRDefault="002B5104"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p>
    <w:p w:rsidR="002B5104" w:rsidRDefault="002B5104"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p>
    <w:p w:rsidR="002B5104" w:rsidRPr="00B8161B" w:rsidRDefault="002B5104" w:rsidP="00710D13">
      <w:pPr>
        <w:adjustRightInd w:val="0"/>
        <w:snapToGrid w:val="0"/>
        <w:spacing w:beforeLines="40" w:before="144" w:afterLines="30" w:after="108" w:line="400" w:lineRule="exact"/>
        <w:ind w:leftChars="-100" w:left="1020" w:hangingChars="450" w:hanging="1260"/>
        <w:rPr>
          <w:rFonts w:ascii="標楷體" w:eastAsia="標楷體" w:hAnsi="標楷體"/>
          <w:sz w:val="28"/>
          <w:szCs w:val="28"/>
        </w:rPr>
      </w:pPr>
    </w:p>
    <w:p w:rsidR="00854CA0" w:rsidRDefault="00854CA0" w:rsidP="002B5104">
      <w:pPr>
        <w:kinsoku w:val="0"/>
        <w:adjustRightInd w:val="0"/>
        <w:spacing w:line="360" w:lineRule="exact"/>
        <w:jc w:val="center"/>
        <w:textDirection w:val="lrTbV"/>
        <w:textAlignment w:val="baseline"/>
        <w:rPr>
          <w:rFonts w:ascii="標楷體" w:eastAsia="標楷體" w:hAnsi="標楷體"/>
          <w:b/>
          <w:kern w:val="0"/>
          <w:sz w:val="32"/>
          <w:szCs w:val="32"/>
        </w:rPr>
      </w:pPr>
      <w:r w:rsidRPr="001C463A">
        <w:rPr>
          <w:rFonts w:ascii="標楷體" w:eastAsia="標楷體" w:hAnsi="標楷體" w:hint="eastAsia"/>
          <w:b/>
          <w:kern w:val="0"/>
          <w:sz w:val="32"/>
          <w:szCs w:val="32"/>
        </w:rPr>
        <w:t>不得攜帶違禁物品項目如下：</w:t>
      </w:r>
    </w:p>
    <w:p w:rsidR="00854CA0" w:rsidRPr="001C463A" w:rsidRDefault="00854CA0" w:rsidP="00AB44B7">
      <w:pPr>
        <w:kinsoku w:val="0"/>
        <w:adjustRightInd w:val="0"/>
        <w:spacing w:line="240" w:lineRule="exact"/>
        <w:textDirection w:val="lrTbV"/>
        <w:textAlignment w:val="baseline"/>
        <w:rPr>
          <w:rFonts w:ascii="標楷體" w:eastAsia="標楷體" w:hAnsi="標楷體"/>
          <w:b/>
          <w:kern w:val="0"/>
          <w:sz w:val="32"/>
          <w:szCs w:val="3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854CA0" w:rsidTr="008D7B73">
        <w:trPr>
          <w:trHeight w:val="573"/>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854CA0" w:rsidRDefault="00854CA0" w:rsidP="008D7B73">
            <w:pPr>
              <w:kinsoku w:val="0"/>
              <w:spacing w:line="360" w:lineRule="exact"/>
              <w:jc w:val="both"/>
              <w:rPr>
                <w:rFonts w:ascii="標楷體" w:eastAsia="標楷體" w:hAnsi="標楷體"/>
                <w:spacing w:val="14"/>
                <w:kern w:val="0"/>
                <w:sz w:val="28"/>
                <w:szCs w:val="20"/>
              </w:rPr>
            </w:pPr>
            <w:r>
              <w:rPr>
                <w:rFonts w:ascii="標楷體" w:eastAsia="標楷體" w:hAnsi="標楷體" w:hint="eastAsia"/>
                <w:spacing w:val="14"/>
                <w:kern w:val="0"/>
                <w:sz w:val="28"/>
              </w:rPr>
              <w:t>下列違禁品禁止攜帶或夾藏進入機關管制區</w:t>
            </w:r>
          </w:p>
        </w:tc>
      </w:tr>
      <w:tr w:rsidR="00854CA0" w:rsidTr="008D7B73">
        <w:trPr>
          <w:trHeight w:val="518"/>
        </w:trPr>
        <w:tc>
          <w:tcPr>
            <w:tcW w:w="4820" w:type="dxa"/>
            <w:tcBorders>
              <w:top w:val="single" w:sz="4" w:space="0" w:color="auto"/>
              <w:left w:val="single" w:sz="4" w:space="0" w:color="auto"/>
              <w:bottom w:val="single" w:sz="4" w:space="0" w:color="auto"/>
              <w:right w:val="single" w:sz="4" w:space="0" w:color="auto"/>
            </w:tcBorders>
            <w:vAlign w:val="center"/>
            <w:hideMark/>
          </w:tcPr>
          <w:p w:rsidR="00854CA0" w:rsidRDefault="00854CA0" w:rsidP="008D7B73">
            <w:pPr>
              <w:kinsoku w:val="0"/>
              <w:spacing w:line="360" w:lineRule="exact"/>
              <w:jc w:val="both"/>
              <w:rPr>
                <w:rFonts w:ascii="標楷體" w:eastAsia="標楷體" w:hAnsi="標楷體"/>
                <w:kern w:val="0"/>
                <w:sz w:val="28"/>
              </w:rPr>
            </w:pPr>
            <w:r>
              <w:rPr>
                <w:rFonts w:ascii="標楷體" w:eastAsia="標楷體" w:hAnsi="標楷體" w:hint="eastAsia"/>
                <w:kern w:val="0"/>
                <w:sz w:val="28"/>
              </w:rPr>
              <w:t>禁止使用類</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4CA0" w:rsidRDefault="00854CA0" w:rsidP="008D7B73">
            <w:pPr>
              <w:kinsoku w:val="0"/>
              <w:spacing w:line="360" w:lineRule="exact"/>
              <w:jc w:val="both"/>
              <w:rPr>
                <w:rFonts w:ascii="標楷體" w:eastAsia="標楷體" w:hAnsi="標楷體"/>
                <w:kern w:val="0"/>
                <w:sz w:val="28"/>
              </w:rPr>
            </w:pPr>
            <w:r>
              <w:rPr>
                <w:rFonts w:ascii="標楷體" w:eastAsia="標楷體" w:hAnsi="標楷體" w:hint="eastAsia"/>
                <w:kern w:val="0"/>
                <w:sz w:val="28"/>
              </w:rPr>
              <w:t>限制使用類</w:t>
            </w:r>
          </w:p>
        </w:tc>
      </w:tr>
      <w:tr w:rsidR="00854CA0" w:rsidTr="008D7B73">
        <w:trPr>
          <w:trHeight w:val="8810"/>
        </w:trPr>
        <w:tc>
          <w:tcPr>
            <w:tcW w:w="4820" w:type="dxa"/>
            <w:tcBorders>
              <w:top w:val="single" w:sz="4" w:space="0" w:color="auto"/>
              <w:left w:val="single" w:sz="4" w:space="0" w:color="auto"/>
              <w:bottom w:val="single" w:sz="4" w:space="0" w:color="auto"/>
              <w:right w:val="single" w:sz="4" w:space="0" w:color="auto"/>
            </w:tcBorders>
            <w:hideMark/>
          </w:tcPr>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一、毒品</w:t>
            </w:r>
            <w:r>
              <w:rPr>
                <w:rFonts w:ascii="標楷體" w:eastAsia="標楷體" w:hAnsi="標楷體" w:hint="eastAsia"/>
                <w:sz w:val="28"/>
                <w:szCs w:val="28"/>
              </w:rPr>
              <w:t>危害防制條例所列之毒品</w:t>
            </w:r>
            <w:r>
              <w:rPr>
                <w:rFonts w:ascii="標楷體" w:eastAsia="標楷體" w:hAnsi="標楷體" w:hint="eastAsia"/>
                <w:kern w:val="0"/>
                <w:sz w:val="28"/>
              </w:rPr>
              <w:t>。</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kern w:val="0"/>
                <w:sz w:val="28"/>
              </w:rPr>
              <w:t>二、</w:t>
            </w:r>
            <w:r>
              <w:rPr>
                <w:rFonts w:ascii="標楷體" w:eastAsia="標楷體" w:hAnsi="標楷體" w:hint="eastAsia"/>
                <w:sz w:val="28"/>
                <w:szCs w:val="28"/>
              </w:rPr>
              <w:t>槍砲彈藥刀械管制條例所列之槍</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砲、彈藥、刀械。</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kern w:val="0"/>
                <w:sz w:val="28"/>
              </w:rPr>
              <w:t>三、</w:t>
            </w:r>
            <w:r>
              <w:rPr>
                <w:rFonts w:ascii="標楷體" w:eastAsia="標楷體" w:hAnsi="標楷體" w:hint="eastAsia"/>
                <w:sz w:val="28"/>
                <w:szCs w:val="28"/>
              </w:rPr>
              <w:t>其他依國家法令禁止製造、運輸</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、販賣、陳列或持有之物。</w:t>
            </w:r>
          </w:p>
          <w:p w:rsidR="00854CA0" w:rsidRDefault="00854CA0" w:rsidP="008D7B73">
            <w:pPr>
              <w:spacing w:line="440" w:lineRule="exact"/>
              <w:rPr>
                <w:rFonts w:ascii="標楷體" w:eastAsia="標楷體" w:hAnsi="標楷體"/>
                <w:kern w:val="0"/>
                <w:sz w:val="28"/>
                <w:szCs w:val="20"/>
              </w:rPr>
            </w:pPr>
            <w:r>
              <w:rPr>
                <w:rFonts w:ascii="標楷體" w:eastAsia="標楷體" w:hAnsi="標楷體" w:hint="eastAsia"/>
                <w:sz w:val="28"/>
                <w:szCs w:val="28"/>
              </w:rPr>
              <w:t>四、</w:t>
            </w:r>
            <w:r>
              <w:rPr>
                <w:rFonts w:ascii="標楷體" w:eastAsia="標楷體" w:hAnsi="標楷體" w:hint="eastAsia"/>
                <w:kern w:val="0"/>
                <w:sz w:val="28"/>
              </w:rPr>
              <w:t>酒類、酒精類製品。</w:t>
            </w:r>
          </w:p>
          <w:p w:rsidR="00854CA0" w:rsidRDefault="00854CA0" w:rsidP="008D7B73">
            <w:pPr>
              <w:spacing w:line="440" w:lineRule="exact"/>
              <w:rPr>
                <w:rFonts w:ascii="標楷體" w:eastAsia="標楷體" w:hAnsi="標楷體"/>
                <w:kern w:val="0"/>
                <w:sz w:val="28"/>
              </w:rPr>
            </w:pPr>
            <w:r>
              <w:rPr>
                <w:rFonts w:ascii="標楷體" w:eastAsia="標楷體" w:hAnsi="標楷體" w:hint="eastAsia"/>
                <w:kern w:val="0"/>
                <w:sz w:val="28"/>
              </w:rPr>
              <w:t>五、檳榔。</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kern w:val="0"/>
                <w:sz w:val="28"/>
              </w:rPr>
              <w:t>六、</w:t>
            </w:r>
            <w:r>
              <w:rPr>
                <w:rFonts w:ascii="標楷體" w:eastAsia="標楷體" w:hAnsi="標楷體" w:hint="eastAsia"/>
                <w:sz w:val="28"/>
                <w:szCs w:val="28"/>
              </w:rPr>
              <w:t>注射針筒等施(吸)用毒品用具。</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七、行動電話、網路設備等通訊器材</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八、汽(柴)油。</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九、有價證劵(含現金、流通貨幣、</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支票、金融卡、信用卡、現金卡、</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外幣及其他具有交易或流通性</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之物品)。</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十、貴重物品(含鐘錶、貴金屬、寶</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石、戒指、飾品、鑰匙及其他具</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有財產性、紀念性價值之物品)。</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十一、自製或改造具危險性之器物(</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如磨尖之牙刷、筷子等)。</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十二、紋身器具。</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十三、賭具。</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十四、其他未經矯正機關許可、檢查</w:t>
            </w:r>
          </w:p>
          <w:p w:rsidR="00854CA0" w:rsidRDefault="00854CA0" w:rsidP="008D7B73">
            <w:pPr>
              <w:spacing w:line="440" w:lineRule="exact"/>
              <w:rPr>
                <w:rFonts w:ascii="標楷體" w:eastAsia="標楷體" w:hAnsi="標楷體"/>
                <w:sz w:val="28"/>
                <w:szCs w:val="28"/>
              </w:rPr>
            </w:pPr>
            <w:r>
              <w:rPr>
                <w:rFonts w:ascii="標楷體" w:eastAsia="標楷體" w:hAnsi="標楷體" w:hint="eastAsia"/>
                <w:sz w:val="28"/>
                <w:szCs w:val="28"/>
              </w:rPr>
              <w:t xml:space="preserve">      及登記程序之物品。</w:t>
            </w:r>
          </w:p>
        </w:tc>
        <w:tc>
          <w:tcPr>
            <w:tcW w:w="4678" w:type="dxa"/>
            <w:tcBorders>
              <w:top w:val="single" w:sz="4" w:space="0" w:color="auto"/>
              <w:left w:val="single" w:sz="4" w:space="0" w:color="auto"/>
              <w:bottom w:val="single" w:sz="4" w:space="0" w:color="auto"/>
              <w:right w:val="single" w:sz="4" w:space="0" w:color="auto"/>
            </w:tcBorders>
            <w:hideMark/>
          </w:tcPr>
          <w:p w:rsidR="00854CA0" w:rsidRDefault="00854CA0" w:rsidP="008D7B73">
            <w:pPr>
              <w:kinsoku w:val="0"/>
              <w:spacing w:line="440" w:lineRule="exact"/>
              <w:ind w:left="1361" w:hanging="1361"/>
              <w:rPr>
                <w:rFonts w:ascii="標楷體" w:eastAsia="標楷體" w:hAnsi="標楷體"/>
                <w:kern w:val="0"/>
                <w:sz w:val="28"/>
                <w:szCs w:val="20"/>
              </w:rPr>
            </w:pPr>
            <w:r>
              <w:rPr>
                <w:rFonts w:ascii="標楷體" w:eastAsia="標楷體" w:hAnsi="標楷體" w:hint="eastAsia"/>
                <w:kern w:val="0"/>
                <w:sz w:val="28"/>
              </w:rPr>
              <w:t>一、菸品。</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二、打火機或點火器。</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三、自製點菸工具。</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四、刀具(含刀片、鋸片、剪刀等)</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五、尖銳物品(含針、釘等)。</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六、繩索類(含布條、鬆緊帶等)。</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七、玻璃類製品。</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八、攝錄影或撥放設備(攝錄放影/</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 xml:space="preserve">    音機、MP4等)。</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九、儲存媒體(錄音帶、光碟、記憶</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 xml:space="preserve">    卡、硬碟等)。</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十、電器物品、零件及耗材。</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十一、電池(含廢電池)。</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十二、藥品。</w:t>
            </w:r>
          </w:p>
          <w:p w:rsidR="00854CA0" w:rsidRDefault="00854CA0" w:rsidP="008D7B73">
            <w:pPr>
              <w:kinsoku w:val="0"/>
              <w:spacing w:line="440" w:lineRule="exact"/>
              <w:ind w:left="1361" w:hanging="1361"/>
              <w:rPr>
                <w:rFonts w:ascii="標楷體" w:eastAsia="標楷體" w:hAnsi="標楷體"/>
                <w:kern w:val="0"/>
                <w:sz w:val="28"/>
              </w:rPr>
            </w:pPr>
            <w:r>
              <w:rPr>
                <w:rFonts w:ascii="標楷體" w:eastAsia="標楷體" w:hAnsi="標楷體" w:hint="eastAsia"/>
                <w:kern w:val="0"/>
                <w:sz w:val="28"/>
              </w:rPr>
              <w:t>十三、作業材料及其他公物。</w:t>
            </w:r>
          </w:p>
        </w:tc>
      </w:tr>
      <w:tr w:rsidR="00854CA0" w:rsidTr="008D7B73">
        <w:trPr>
          <w:trHeight w:val="77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854CA0" w:rsidRDefault="00854CA0" w:rsidP="008D7B73">
            <w:pPr>
              <w:kinsoku w:val="0"/>
              <w:spacing w:line="360" w:lineRule="exact"/>
              <w:jc w:val="both"/>
              <w:rPr>
                <w:rFonts w:ascii="標楷體" w:eastAsia="標楷體" w:hAnsi="標楷體"/>
                <w:b/>
                <w:kern w:val="0"/>
                <w:sz w:val="28"/>
              </w:rPr>
            </w:pPr>
            <w:r>
              <w:rPr>
                <w:rFonts w:ascii="標楷體" w:eastAsia="標楷體" w:hAnsi="標楷體" w:hint="eastAsia"/>
                <w:b/>
                <w:kern w:val="0"/>
                <w:sz w:val="28"/>
              </w:rPr>
              <w:t>附註：如隨身攜帶有上列各項物品，請主動洽各機關執勤人員提出保管。</w:t>
            </w:r>
          </w:p>
        </w:tc>
      </w:tr>
    </w:tbl>
    <w:p w:rsidR="00854CA0" w:rsidRDefault="00854CA0" w:rsidP="00854CA0">
      <w:pPr>
        <w:adjustRightInd w:val="0"/>
        <w:spacing w:line="360" w:lineRule="exact"/>
        <w:textAlignment w:val="baseline"/>
        <w:rPr>
          <w:rFonts w:ascii="標楷體" w:eastAsia="標楷體" w:hAnsi="標楷體"/>
          <w:kern w:val="0"/>
          <w:sz w:val="28"/>
          <w:szCs w:val="20"/>
        </w:rPr>
      </w:pPr>
    </w:p>
    <w:p w:rsidR="002B5104" w:rsidRDefault="002B5104" w:rsidP="00854CA0">
      <w:pPr>
        <w:adjustRightInd w:val="0"/>
        <w:spacing w:line="360" w:lineRule="exact"/>
        <w:textAlignment w:val="baseline"/>
        <w:rPr>
          <w:rFonts w:ascii="標楷體" w:eastAsia="標楷體" w:hAnsi="標楷體"/>
          <w:kern w:val="0"/>
          <w:sz w:val="28"/>
          <w:szCs w:val="20"/>
        </w:rPr>
      </w:pPr>
    </w:p>
    <w:p w:rsidR="002B5104" w:rsidRDefault="002B5104" w:rsidP="00854CA0">
      <w:pPr>
        <w:adjustRightInd w:val="0"/>
        <w:spacing w:line="360" w:lineRule="exact"/>
        <w:textAlignment w:val="baseline"/>
        <w:rPr>
          <w:rFonts w:ascii="標楷體" w:eastAsia="標楷體" w:hAnsi="標楷體"/>
          <w:kern w:val="0"/>
          <w:sz w:val="28"/>
          <w:szCs w:val="20"/>
        </w:rPr>
      </w:pPr>
    </w:p>
    <w:p w:rsidR="002B5104" w:rsidRDefault="002B5104" w:rsidP="00854CA0">
      <w:pPr>
        <w:adjustRightInd w:val="0"/>
        <w:spacing w:line="360" w:lineRule="exact"/>
        <w:textAlignment w:val="baseline"/>
        <w:rPr>
          <w:rFonts w:ascii="標楷體" w:eastAsia="標楷體" w:hAnsi="標楷體"/>
          <w:kern w:val="0"/>
          <w:sz w:val="28"/>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8"/>
        <w:gridCol w:w="1985"/>
        <w:gridCol w:w="1984"/>
        <w:gridCol w:w="1843"/>
        <w:gridCol w:w="1985"/>
      </w:tblGrid>
      <w:tr w:rsidR="00854CA0" w:rsidRPr="00A805E1" w:rsidTr="008D7B73">
        <w:trPr>
          <w:trHeight w:val="567"/>
          <w:tblHeader/>
        </w:trPr>
        <w:tc>
          <w:tcPr>
            <w:tcW w:w="9606" w:type="dxa"/>
            <w:gridSpan w:val="6"/>
            <w:shd w:val="clear" w:color="auto" w:fill="auto"/>
            <w:vAlign w:val="center"/>
          </w:tcPr>
          <w:p w:rsidR="00854CA0" w:rsidRPr="008E7F02" w:rsidRDefault="00854CA0" w:rsidP="008D7B73">
            <w:pPr>
              <w:spacing w:line="360" w:lineRule="exact"/>
              <w:jc w:val="center"/>
              <w:rPr>
                <w:rFonts w:ascii="標楷體" w:eastAsia="標楷體" w:hAnsi="標楷體"/>
                <w:b/>
                <w:lang w:eastAsia="zh-HK"/>
              </w:rPr>
            </w:pPr>
            <w:r w:rsidRPr="008E7F02">
              <w:rPr>
                <w:rFonts w:ascii="標楷體" w:eastAsia="標楷體" w:hAnsi="標楷體" w:hint="eastAsia"/>
                <w:b/>
                <w:sz w:val="32"/>
              </w:rPr>
              <w:t>法務部矯正署所屬矯正機關違禁物品項目表</w:t>
            </w:r>
          </w:p>
        </w:tc>
      </w:tr>
      <w:tr w:rsidR="00854CA0" w:rsidRPr="00A805E1" w:rsidTr="008D7B73">
        <w:tc>
          <w:tcPr>
            <w:tcW w:w="1101" w:type="dxa"/>
            <w:shd w:val="clear" w:color="auto" w:fill="auto"/>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lang w:eastAsia="zh-HK"/>
              </w:rPr>
              <w:t>類別</w:t>
            </w:r>
          </w:p>
        </w:tc>
        <w:tc>
          <w:tcPr>
            <w:tcW w:w="708" w:type="dxa"/>
            <w:shd w:val="clear" w:color="auto" w:fill="auto"/>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lang w:eastAsia="zh-HK"/>
              </w:rPr>
              <w:t>項次</w:t>
            </w:r>
          </w:p>
        </w:tc>
        <w:tc>
          <w:tcPr>
            <w:tcW w:w="1985" w:type="dxa"/>
            <w:shd w:val="clear" w:color="auto" w:fill="auto"/>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lang w:eastAsia="zh-HK"/>
              </w:rPr>
              <w:t>種類</w:t>
            </w:r>
          </w:p>
        </w:tc>
        <w:tc>
          <w:tcPr>
            <w:tcW w:w="1984" w:type="dxa"/>
            <w:shd w:val="clear" w:color="auto" w:fill="auto"/>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lang w:eastAsia="zh-HK"/>
              </w:rPr>
              <w:t>品項</w:t>
            </w:r>
          </w:p>
        </w:tc>
        <w:tc>
          <w:tcPr>
            <w:tcW w:w="1843" w:type="dxa"/>
            <w:shd w:val="clear" w:color="auto" w:fill="auto"/>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lang w:eastAsia="zh-HK"/>
              </w:rPr>
              <w:t>管制規範</w:t>
            </w:r>
          </w:p>
        </w:tc>
        <w:tc>
          <w:tcPr>
            <w:tcW w:w="1985" w:type="dxa"/>
            <w:shd w:val="clear" w:color="auto" w:fill="auto"/>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lang w:eastAsia="zh-HK"/>
              </w:rPr>
              <w:t>查獲後之處理</w:t>
            </w:r>
          </w:p>
        </w:tc>
      </w:tr>
      <w:tr w:rsidR="00854CA0" w:rsidRPr="00A805E1" w:rsidTr="008D7B73">
        <w:tc>
          <w:tcPr>
            <w:tcW w:w="1101" w:type="dxa"/>
            <w:vMerge w:val="restart"/>
            <w:shd w:val="clear" w:color="auto" w:fill="auto"/>
          </w:tcPr>
          <w:p w:rsidR="00854CA0" w:rsidRPr="00A805E1" w:rsidRDefault="00854CA0" w:rsidP="008D7B73">
            <w:pPr>
              <w:spacing w:line="360" w:lineRule="exact"/>
              <w:jc w:val="both"/>
              <w:rPr>
                <w:rFonts w:ascii="標楷體" w:eastAsia="標楷體" w:hAnsi="標楷體"/>
              </w:rPr>
            </w:pPr>
            <w:r w:rsidRPr="00A805E1">
              <w:rPr>
                <w:rFonts w:ascii="標楷體" w:eastAsia="標楷體" w:hAnsi="標楷體" w:hint="eastAsia"/>
                <w:lang w:eastAsia="zh-HK"/>
              </w:rPr>
              <w:t>禁止使用類</w:t>
            </w: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依國家法令禁止私自製造、販賣、運輸、持有、所有或行使之物。</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毒品危害防制條例所列之毒品。</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 xml:space="preserve">一、持有或使用者移送法辦。 </w:t>
            </w:r>
          </w:p>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二、物品隨案移送。</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依國家法令禁止私自製造、販賣、運輸、持有、所有或行使之物。</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槍砲彈藥刀械管制條例所列之槍砲、彈藥、刀械</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 xml:space="preserve">一、持有或使用者移送法辦。 </w:t>
            </w:r>
          </w:p>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二、物品隨案移送。</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3</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依國家法令禁止製造、運輸、販賣、陳列或持有之物。</w:t>
            </w:r>
          </w:p>
        </w:tc>
        <w:tc>
          <w:tcPr>
            <w:tcW w:w="1984" w:type="dxa"/>
            <w:shd w:val="clear" w:color="auto" w:fill="auto"/>
          </w:tcPr>
          <w:p w:rsidR="00854CA0" w:rsidRPr="00CC3C34" w:rsidRDefault="00854CA0" w:rsidP="008D7B73">
            <w:pPr>
              <w:spacing w:line="320" w:lineRule="exact"/>
              <w:jc w:val="both"/>
              <w:rPr>
                <w:rFonts w:ascii="標楷體" w:eastAsia="標楷體" w:hAnsi="標楷體" w:cs="微軟正黑體"/>
              </w:rPr>
            </w:pPr>
            <w:r w:rsidRPr="00CC3C34">
              <w:rPr>
                <w:rFonts w:ascii="標楷體" w:eastAsia="標楷體" w:hAnsi="標楷體" w:cs="微軟正黑體" w:hint="eastAsia"/>
              </w:rPr>
              <w:t>其他依國家法令禁止製造、運輸、販賣、陳列或持有之物。</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 xml:space="preserve">一、持有或使用者移送法辦。 </w:t>
            </w:r>
          </w:p>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二、物品隨案移送。</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4</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依矯正法令收容人禁用之物。</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酒類、酒精類製品</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5</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依矯正法令收容人禁用之物。</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檳榔</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6</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得以施（吸）用毒品之物。</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注射針筒等施（吸）用毒品用具</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 xml:space="preserve">一、持有或使用者移送法辦。 </w:t>
            </w:r>
          </w:p>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二、物品隨案移送。</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7</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可作為串供、脫逃或犯案之通訊工具，影響矯正機關秩序、安全及管理。</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行動電話、網路設備等通訊器</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8</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影響矯正機關秩序、安全及管理。</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汽（柴）油</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9</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禁止於矯正機關內流通使用，恐影響矯正機關秩序、安全及管理。</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有價證券（含現金、流通貨幣、支票、金融卡、信用卡、現金卡、外幣及其他具有交易或流通性之物品）</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10</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禁止於矯正機關內流通使用，恐影響矯正機關秩序、安全及管理。</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貴重物品（含鐘錶</w:t>
            </w:r>
            <w:r w:rsidRPr="00CC3C34">
              <w:rPr>
                <w:rFonts w:ascii="標楷體" w:eastAsia="標楷體" w:hAnsi="標楷體" w:cs="微軟正黑體" w:hint="eastAsia"/>
              </w:rPr>
              <w:t>、智慧型手錶或眼鏡</w:t>
            </w:r>
            <w:r w:rsidRPr="00CC3C34">
              <w:rPr>
                <w:rFonts w:ascii="標楷體" w:eastAsia="標楷體" w:hAnsi="標楷體" w:cs="微軟正黑體"/>
              </w:rPr>
              <w:t>、貴金屬、寶石、戒指、飾品、鑰匙及其他具有財產性、紀念性價值之物品）</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11</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可作為收容人脫逃、攻擊等工具，影響矯正機關及收容人安全。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自製或改造具危險性之器物（如磨尖之牙刷、筷子等）</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12</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紋身易致感染或發炎，影響矯正機關公共衛生及收容人健康。</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紋身器具</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13</w:t>
            </w:r>
          </w:p>
        </w:tc>
        <w:tc>
          <w:tcPr>
            <w:tcW w:w="1985"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賭博易致生事端，影響矯正機關秩序。</w:t>
            </w:r>
          </w:p>
        </w:tc>
        <w:tc>
          <w:tcPr>
            <w:tcW w:w="1984" w:type="dxa"/>
            <w:shd w:val="clear" w:color="auto" w:fill="auto"/>
          </w:tcPr>
          <w:p w:rsidR="00854CA0" w:rsidRPr="00A805E1" w:rsidRDefault="00854CA0" w:rsidP="008D7B73">
            <w:pPr>
              <w:spacing w:line="300" w:lineRule="exact"/>
              <w:jc w:val="both"/>
              <w:rPr>
                <w:rFonts w:ascii="標楷體" w:eastAsia="標楷體" w:hAnsi="標楷體"/>
              </w:rPr>
            </w:pPr>
            <w:r w:rsidRPr="00CC3C34">
              <w:rPr>
                <w:rFonts w:ascii="標楷體" w:eastAsia="標楷體" w:hAnsi="標楷體" w:cs="微軟正黑體"/>
              </w:rPr>
              <w:t>賭具</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14</w:t>
            </w:r>
          </w:p>
        </w:tc>
        <w:tc>
          <w:tcPr>
            <w:tcW w:w="1985"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影響矯正機關秩序、安全及管理。</w:t>
            </w:r>
          </w:p>
        </w:tc>
        <w:tc>
          <w:tcPr>
            <w:tcW w:w="1984" w:type="dxa"/>
            <w:shd w:val="clear" w:color="auto" w:fill="auto"/>
          </w:tcPr>
          <w:p w:rsidR="00854CA0" w:rsidRPr="00CC3C34" w:rsidRDefault="00854CA0" w:rsidP="008D7B73">
            <w:pPr>
              <w:spacing w:line="300" w:lineRule="exact"/>
              <w:jc w:val="both"/>
              <w:rPr>
                <w:rFonts w:ascii="標楷體" w:eastAsia="標楷體" w:hAnsi="標楷體" w:cs="微軟正黑體"/>
              </w:rPr>
            </w:pPr>
            <w:r w:rsidRPr="00CC3C34">
              <w:rPr>
                <w:rFonts w:ascii="標楷體" w:eastAsia="標楷體" w:hAnsi="標楷體" w:cs="微軟正黑體"/>
              </w:rPr>
              <w:t>其他未經矯正機關許可、檢查及登記程序之物品</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收容人禁止持有或使用。</w:t>
            </w:r>
          </w:p>
        </w:tc>
        <w:tc>
          <w:tcPr>
            <w:tcW w:w="1985"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val="restart"/>
            <w:shd w:val="clear" w:color="auto" w:fill="auto"/>
          </w:tcPr>
          <w:p w:rsidR="00854CA0" w:rsidRPr="00A805E1" w:rsidRDefault="00854CA0" w:rsidP="008D7B73">
            <w:pPr>
              <w:spacing w:line="360" w:lineRule="exact"/>
              <w:jc w:val="both"/>
              <w:rPr>
                <w:rFonts w:ascii="標楷體" w:eastAsia="標楷體" w:hAnsi="標楷體"/>
              </w:rPr>
            </w:pPr>
            <w:r w:rsidRPr="00A805E1">
              <w:rPr>
                <w:rFonts w:ascii="標楷體" w:eastAsia="標楷體" w:hAnsi="標楷體" w:hint="eastAsia"/>
                <w:lang w:eastAsia="zh-HK"/>
              </w:rPr>
              <w:t>限制使用類</w:t>
            </w: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15</w:t>
            </w:r>
          </w:p>
        </w:tc>
        <w:tc>
          <w:tcPr>
            <w:tcW w:w="1985"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依法管制使用之物。</w:t>
            </w:r>
          </w:p>
        </w:tc>
        <w:tc>
          <w:tcPr>
            <w:tcW w:w="1984" w:type="dxa"/>
            <w:shd w:val="clear" w:color="auto" w:fill="auto"/>
          </w:tcPr>
          <w:p w:rsidR="002B5104" w:rsidRDefault="00854CA0" w:rsidP="008D7B73">
            <w:pPr>
              <w:spacing w:line="300" w:lineRule="exact"/>
              <w:jc w:val="both"/>
              <w:rPr>
                <w:rFonts w:ascii="標楷體" w:eastAsia="標楷體" w:hAnsi="標楷體"/>
              </w:rPr>
            </w:pPr>
            <w:r w:rsidRPr="00CC3C34">
              <w:rPr>
                <w:rFonts w:ascii="標楷體" w:eastAsia="標楷體" w:hAnsi="標楷體" w:cs="微軟正黑體"/>
              </w:rPr>
              <w:t>菸品</w:t>
            </w:r>
            <w:r w:rsidRPr="00CC3C34">
              <w:rPr>
                <w:rFonts w:ascii="標楷體" w:eastAsia="標楷體" w:hAnsi="標楷體" w:cs="微軟正黑體" w:hint="eastAsia"/>
              </w:rPr>
              <w:t>。</w:t>
            </w:r>
          </w:p>
          <w:p w:rsidR="002B5104" w:rsidRPr="002B5104" w:rsidRDefault="002B5104" w:rsidP="002B5104">
            <w:pPr>
              <w:rPr>
                <w:rFonts w:ascii="標楷體" w:eastAsia="標楷體" w:hAnsi="標楷體"/>
              </w:rPr>
            </w:pPr>
          </w:p>
          <w:p w:rsidR="002B5104" w:rsidRPr="002B5104" w:rsidRDefault="002B5104" w:rsidP="002B5104">
            <w:pPr>
              <w:rPr>
                <w:rFonts w:ascii="標楷體" w:eastAsia="標楷體" w:hAnsi="標楷體"/>
              </w:rPr>
            </w:pPr>
          </w:p>
          <w:p w:rsidR="002B5104" w:rsidRPr="002B5104" w:rsidRDefault="002B5104" w:rsidP="002B5104">
            <w:pPr>
              <w:rPr>
                <w:rFonts w:ascii="標楷體" w:eastAsia="標楷體" w:hAnsi="標楷體"/>
              </w:rPr>
            </w:pPr>
          </w:p>
          <w:p w:rsidR="00854CA0" w:rsidRPr="002B5104" w:rsidRDefault="00854CA0" w:rsidP="002B5104">
            <w:pPr>
              <w:rPr>
                <w:rFonts w:ascii="標楷體" w:eastAsia="標楷體" w:hAnsi="標楷體"/>
              </w:rPr>
            </w:pPr>
          </w:p>
        </w:tc>
        <w:tc>
          <w:tcPr>
            <w:tcW w:w="1843"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機關管制數量，得許收容人於指定之時間、處所使用。</w:t>
            </w:r>
          </w:p>
        </w:tc>
        <w:tc>
          <w:tcPr>
            <w:tcW w:w="1985" w:type="dxa"/>
            <w:shd w:val="clear" w:color="auto" w:fill="auto"/>
          </w:tcPr>
          <w:p w:rsidR="00854CA0" w:rsidRPr="00A805E1" w:rsidRDefault="00854CA0" w:rsidP="008D7B73">
            <w:pPr>
              <w:spacing w:line="30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16</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可作為縱火等工具，影響矯正機關安全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打火機或點火器</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機關管制數量，得許收容人於指定之時間、處所使用。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17</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可作為縱火等工具，影響矯正機關安全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自製點菸工具</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18</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可作為收容人脫逃、攻擊等工具，影響矯正機關及收容人安全。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刀具(含刀片、鋸片、剪刀等)</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19</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可作為收容人脫逃、攻擊等工具，影響矯正機關及</w:t>
            </w:r>
          </w:p>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尖銳物品（含針、釘等）</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20</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可作為收容人脫逃、自殺等工具，影響矯正機關及收容人安全。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繩索類(含布條、鬆緊帶等)</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21</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可作為收容人窺視管理人員行蹤、攻擊等工具，影響矯正機關及收容人安全。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玻璃類製品</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22</w:t>
            </w:r>
          </w:p>
        </w:tc>
        <w:tc>
          <w:tcPr>
            <w:tcW w:w="1985" w:type="dxa"/>
            <w:shd w:val="clear" w:color="auto" w:fill="auto"/>
          </w:tcPr>
          <w:p w:rsidR="00854CA0" w:rsidRDefault="00854CA0" w:rsidP="008D7B73">
            <w:pPr>
              <w:spacing w:line="320" w:lineRule="exact"/>
              <w:jc w:val="both"/>
              <w:rPr>
                <w:rFonts w:ascii="標楷體" w:eastAsia="標楷體" w:hAnsi="標楷體"/>
              </w:rPr>
            </w:pPr>
            <w:r w:rsidRPr="00A805E1">
              <w:rPr>
                <w:rFonts w:ascii="標楷體" w:eastAsia="標楷體" w:hAnsi="標楷體" w:hint="eastAsia"/>
              </w:rPr>
              <w:t>矯正機關內部建築及各項安全設備禁止收容人及外界拍照攝影。禁止外界送入或寄入未經許可、檢查之資訊。</w:t>
            </w:r>
          </w:p>
          <w:p w:rsidR="00854CA0" w:rsidRPr="00A805E1" w:rsidRDefault="00854CA0" w:rsidP="008D7B73">
            <w:pPr>
              <w:spacing w:line="320" w:lineRule="exact"/>
              <w:jc w:val="both"/>
              <w:rPr>
                <w:rFonts w:ascii="標楷體" w:eastAsia="標楷體" w:hAnsi="標楷體"/>
              </w:rPr>
            </w:pP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攝錄影或播放設備（攝錄放影/ 音機、MP4等）</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23</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機關內部機敏資料禁止儲存或攜出。禁止外界送入或寄入未經許可、檢查之資訊。</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 xml:space="preserve">儲存媒體（錄音帶、光碟、記憶卡、硬碟等) </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24</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可作為引火或私接電源之工具，或未經矯正機關許可及檢查，影響矯正機關秩序、安全及管理。</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電器物品、零件及耗材</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機關管制數量，得許收容人於指定之時間、處所使用。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25</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可作為收容人引火、自殘等工具，影響矯正機關及收容人安全。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電池（含廢電池）</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機關管制數量，得許收容人於指定之時間、處所使用。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26</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囤積未服用或服用過量，影響矯正機關秩序及收容人安全。</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藥品</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機關管制數量，得許收容人於指定之時間、處所使用。</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r w:rsidR="00854CA0" w:rsidRPr="00A805E1" w:rsidTr="008D7B73">
        <w:tc>
          <w:tcPr>
            <w:tcW w:w="1101" w:type="dxa"/>
            <w:vMerge/>
            <w:shd w:val="clear" w:color="auto" w:fill="auto"/>
          </w:tcPr>
          <w:p w:rsidR="00854CA0" w:rsidRPr="00A805E1" w:rsidRDefault="00854CA0" w:rsidP="008D7B73">
            <w:pPr>
              <w:spacing w:line="360" w:lineRule="exact"/>
              <w:jc w:val="both"/>
              <w:rPr>
                <w:rFonts w:ascii="標楷體" w:eastAsia="標楷體" w:hAnsi="標楷體"/>
              </w:rPr>
            </w:pPr>
          </w:p>
        </w:tc>
        <w:tc>
          <w:tcPr>
            <w:tcW w:w="708" w:type="dxa"/>
            <w:shd w:val="clear" w:color="auto" w:fill="auto"/>
            <w:vAlign w:val="center"/>
          </w:tcPr>
          <w:p w:rsidR="00854CA0" w:rsidRPr="00A805E1" w:rsidRDefault="00854CA0" w:rsidP="008D7B73">
            <w:pPr>
              <w:spacing w:line="360" w:lineRule="exact"/>
              <w:jc w:val="center"/>
              <w:rPr>
                <w:rFonts w:ascii="標楷體" w:eastAsia="標楷體" w:hAnsi="標楷體"/>
              </w:rPr>
            </w:pPr>
            <w:r w:rsidRPr="00A805E1">
              <w:rPr>
                <w:rFonts w:ascii="標楷體" w:eastAsia="標楷體" w:hAnsi="標楷體" w:hint="eastAsia"/>
              </w:rPr>
              <w:t>27</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影響矯正機關秩序、安全及管理。</w:t>
            </w:r>
          </w:p>
        </w:tc>
        <w:tc>
          <w:tcPr>
            <w:tcW w:w="1984" w:type="dxa"/>
            <w:shd w:val="clear" w:color="auto" w:fill="auto"/>
          </w:tcPr>
          <w:p w:rsidR="00854CA0" w:rsidRPr="00A805E1" w:rsidRDefault="00854CA0" w:rsidP="008D7B73">
            <w:pPr>
              <w:spacing w:line="320" w:lineRule="exact"/>
              <w:jc w:val="both"/>
              <w:rPr>
                <w:rFonts w:ascii="標楷體" w:eastAsia="標楷體" w:hAnsi="標楷體"/>
              </w:rPr>
            </w:pPr>
            <w:r w:rsidRPr="00CC3C34">
              <w:rPr>
                <w:rFonts w:ascii="標楷體" w:eastAsia="標楷體" w:hAnsi="標楷體" w:cs="微軟正黑體"/>
              </w:rPr>
              <w:t>作業材料及其他公物</w:t>
            </w:r>
            <w:r w:rsidRPr="00CC3C34">
              <w:rPr>
                <w:rFonts w:ascii="標楷體" w:eastAsia="標楷體" w:hAnsi="標楷體" w:cs="微軟正黑體" w:hint="eastAsia"/>
              </w:rPr>
              <w:t>。</w:t>
            </w:r>
          </w:p>
        </w:tc>
        <w:tc>
          <w:tcPr>
            <w:tcW w:w="1843"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機關得許收容人於作業或課程等指定之時間、處所使用，易生危險之物品應管制數量，專人管理。</w:t>
            </w:r>
          </w:p>
        </w:tc>
        <w:tc>
          <w:tcPr>
            <w:tcW w:w="1985" w:type="dxa"/>
            <w:shd w:val="clear" w:color="auto" w:fill="auto"/>
          </w:tcPr>
          <w:p w:rsidR="00854CA0" w:rsidRPr="00A805E1" w:rsidRDefault="00854CA0" w:rsidP="008D7B73">
            <w:pPr>
              <w:spacing w:line="320" w:lineRule="exact"/>
              <w:jc w:val="both"/>
              <w:rPr>
                <w:rFonts w:ascii="標楷體" w:eastAsia="標楷體" w:hAnsi="標楷體"/>
              </w:rPr>
            </w:pPr>
            <w:r w:rsidRPr="00A805E1">
              <w:rPr>
                <w:rFonts w:ascii="標楷體" w:eastAsia="標楷體" w:hAnsi="標楷體" w:hint="eastAsia"/>
              </w:rPr>
              <w:t>依監獄行刑法、羈押法及其授權辦法等矯正法令歸屬國庫、毀棄或為其他適當之處理。</w:t>
            </w:r>
          </w:p>
        </w:tc>
      </w:tr>
    </w:tbl>
    <w:p w:rsidR="00854CA0" w:rsidRPr="00CC3C34" w:rsidRDefault="00854CA0" w:rsidP="00854CA0">
      <w:pPr>
        <w:adjustRightInd w:val="0"/>
        <w:spacing w:line="360" w:lineRule="exact"/>
        <w:textAlignment w:val="baseline"/>
        <w:rPr>
          <w:rFonts w:ascii="標楷體" w:eastAsia="標楷體" w:hAnsi="標楷體"/>
          <w:kern w:val="0"/>
          <w:sz w:val="28"/>
          <w:szCs w:val="20"/>
        </w:rPr>
      </w:pPr>
    </w:p>
    <w:p w:rsidR="00854CA0" w:rsidRDefault="00854CA0" w:rsidP="00854CA0">
      <w:pPr>
        <w:adjustRightInd w:val="0"/>
        <w:spacing w:line="360" w:lineRule="exact"/>
        <w:textAlignment w:val="baseline"/>
        <w:rPr>
          <w:rFonts w:ascii="標楷體" w:eastAsia="標楷體" w:hAnsi="標楷體"/>
          <w:kern w:val="0"/>
          <w:sz w:val="28"/>
          <w:szCs w:val="20"/>
        </w:rPr>
      </w:pPr>
    </w:p>
    <w:p w:rsidR="00854CA0" w:rsidRPr="001C463A" w:rsidRDefault="00854CA0" w:rsidP="00854CA0">
      <w:pPr>
        <w:kinsoku w:val="0"/>
        <w:adjustRightInd w:val="0"/>
        <w:spacing w:line="360" w:lineRule="exact"/>
        <w:textDirection w:val="lrTbV"/>
        <w:textAlignment w:val="baseline"/>
        <w:rPr>
          <w:rFonts w:ascii="標楷體" w:eastAsia="標楷體" w:hAnsi="標楷體"/>
          <w:sz w:val="28"/>
          <w:szCs w:val="28"/>
        </w:rPr>
      </w:pPr>
    </w:p>
    <w:p w:rsidR="000866F3" w:rsidRPr="00854CA0" w:rsidRDefault="000866F3" w:rsidP="00510086">
      <w:pPr>
        <w:adjustRightInd w:val="0"/>
        <w:snapToGrid w:val="0"/>
        <w:spacing w:before="100" w:beforeAutospacing="1" w:after="100" w:afterAutospacing="1" w:line="400" w:lineRule="exact"/>
        <w:ind w:leftChars="-100" w:left="1020" w:hangingChars="450" w:hanging="1260"/>
        <w:rPr>
          <w:rFonts w:ascii="標楷體" w:eastAsia="標楷體" w:hAnsi="標楷體"/>
          <w:sz w:val="28"/>
          <w:szCs w:val="28"/>
        </w:rPr>
      </w:pPr>
    </w:p>
    <w:sectPr w:rsidR="000866F3" w:rsidRPr="00854CA0" w:rsidSect="002B5104">
      <w:footerReference w:type="default" r:id="rId8"/>
      <w:pgSz w:w="11906" w:h="16838" w:code="9"/>
      <w:pgMar w:top="1021" w:right="1247" w:bottom="1021"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77D" w:rsidRDefault="00E0777D" w:rsidP="00FE0046">
      <w:r>
        <w:separator/>
      </w:r>
    </w:p>
  </w:endnote>
  <w:endnote w:type="continuationSeparator" w:id="0">
    <w:p w:rsidR="00E0777D" w:rsidRDefault="00E0777D" w:rsidP="00FE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CA0" w:rsidRDefault="000866F3" w:rsidP="002B5104">
    <w:pPr>
      <w:pStyle w:val="a9"/>
      <w:ind w:firstLineChars="1900" w:firstLine="3800"/>
    </w:pPr>
    <w:r>
      <w:rPr>
        <w:rFonts w:hint="eastAsia"/>
      </w:rPr>
      <w:t>第</w:t>
    </w:r>
    <w:r w:rsidR="00710D13">
      <w:fldChar w:fldCharType="begin"/>
    </w:r>
    <w:r w:rsidR="00710D13">
      <w:instrText xml:space="preserve"> PAGE   \* MERGEFORMAT </w:instrText>
    </w:r>
    <w:r w:rsidR="00710D13">
      <w:fldChar w:fldCharType="separate"/>
    </w:r>
    <w:r w:rsidR="00E0777D">
      <w:rPr>
        <w:noProof/>
      </w:rPr>
      <w:t>1</w:t>
    </w:r>
    <w:r w:rsidR="00710D13">
      <w:fldChar w:fldCharType="end"/>
    </w:r>
    <w:r>
      <w:rPr>
        <w:rFonts w:hint="eastAsia"/>
      </w:rPr>
      <w:t>頁共</w:t>
    </w:r>
    <w:fldSimple w:instr=" NUMPAGES   \* MERGEFORMAT ">
      <w:r w:rsidR="00E0777D">
        <w:rPr>
          <w:noProof/>
        </w:rPr>
        <w:t>1</w:t>
      </w:r>
    </w:fldSimple>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77D" w:rsidRDefault="00E0777D" w:rsidP="00FE0046">
      <w:r>
        <w:separator/>
      </w:r>
    </w:p>
  </w:footnote>
  <w:footnote w:type="continuationSeparator" w:id="0">
    <w:p w:rsidR="00E0777D" w:rsidRDefault="00E0777D" w:rsidP="00FE0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bookFoldPrintingSheets w:val="-4"/>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CB"/>
    <w:rsid w:val="000317C4"/>
    <w:rsid w:val="000866F3"/>
    <w:rsid w:val="00120DF4"/>
    <w:rsid w:val="001E427D"/>
    <w:rsid w:val="001F6545"/>
    <w:rsid w:val="00243CBB"/>
    <w:rsid w:val="002B5104"/>
    <w:rsid w:val="002D73A2"/>
    <w:rsid w:val="002E5487"/>
    <w:rsid w:val="002E78B1"/>
    <w:rsid w:val="0032063E"/>
    <w:rsid w:val="00354FF3"/>
    <w:rsid w:val="00376623"/>
    <w:rsid w:val="003B5931"/>
    <w:rsid w:val="004B58C7"/>
    <w:rsid w:val="00510086"/>
    <w:rsid w:val="00672BFE"/>
    <w:rsid w:val="00683FF2"/>
    <w:rsid w:val="00710D13"/>
    <w:rsid w:val="0075564C"/>
    <w:rsid w:val="007A0496"/>
    <w:rsid w:val="00802CAD"/>
    <w:rsid w:val="00854CA0"/>
    <w:rsid w:val="008845A2"/>
    <w:rsid w:val="008E0214"/>
    <w:rsid w:val="0091765E"/>
    <w:rsid w:val="00A826AB"/>
    <w:rsid w:val="00A85FF2"/>
    <w:rsid w:val="00AB44B7"/>
    <w:rsid w:val="00C50724"/>
    <w:rsid w:val="00CB4D37"/>
    <w:rsid w:val="00CC5D18"/>
    <w:rsid w:val="00CD34AA"/>
    <w:rsid w:val="00D13236"/>
    <w:rsid w:val="00D322B9"/>
    <w:rsid w:val="00DC1BCB"/>
    <w:rsid w:val="00E0777D"/>
    <w:rsid w:val="00E220BC"/>
    <w:rsid w:val="00F257F5"/>
    <w:rsid w:val="00F705C6"/>
    <w:rsid w:val="00FE0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8D4CB"/>
  <w15:chartTrackingRefBased/>
  <w15:docId w15:val="{220C34B7-09A2-4DF9-8994-C3E47326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5A2"/>
    <w:pPr>
      <w:ind w:leftChars="200" w:left="480"/>
    </w:pPr>
  </w:style>
  <w:style w:type="character" w:styleId="a4">
    <w:name w:val="Hyperlink"/>
    <w:basedOn w:val="a0"/>
    <w:uiPriority w:val="99"/>
    <w:unhideWhenUsed/>
    <w:rsid w:val="00E220BC"/>
    <w:rPr>
      <w:color w:val="0563C1" w:themeColor="hyperlink"/>
      <w:u w:val="single"/>
    </w:rPr>
  </w:style>
  <w:style w:type="paragraph" w:styleId="a5">
    <w:name w:val="Balloon Text"/>
    <w:basedOn w:val="a"/>
    <w:link w:val="a6"/>
    <w:uiPriority w:val="99"/>
    <w:semiHidden/>
    <w:unhideWhenUsed/>
    <w:rsid w:val="00D1323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13236"/>
    <w:rPr>
      <w:rFonts w:asciiTheme="majorHAnsi" w:eastAsiaTheme="majorEastAsia" w:hAnsiTheme="majorHAnsi" w:cstheme="majorBidi"/>
      <w:sz w:val="18"/>
      <w:szCs w:val="18"/>
    </w:rPr>
  </w:style>
  <w:style w:type="paragraph" w:styleId="a7">
    <w:name w:val="header"/>
    <w:basedOn w:val="a"/>
    <w:link w:val="a8"/>
    <w:uiPriority w:val="99"/>
    <w:unhideWhenUsed/>
    <w:rsid w:val="00FE0046"/>
    <w:pPr>
      <w:tabs>
        <w:tab w:val="center" w:pos="4153"/>
        <w:tab w:val="right" w:pos="8306"/>
      </w:tabs>
      <w:snapToGrid w:val="0"/>
    </w:pPr>
    <w:rPr>
      <w:sz w:val="20"/>
      <w:szCs w:val="20"/>
    </w:rPr>
  </w:style>
  <w:style w:type="character" w:customStyle="1" w:styleId="a8">
    <w:name w:val="頁首 字元"/>
    <w:basedOn w:val="a0"/>
    <w:link w:val="a7"/>
    <w:uiPriority w:val="99"/>
    <w:rsid w:val="00FE0046"/>
    <w:rPr>
      <w:sz w:val="20"/>
      <w:szCs w:val="20"/>
    </w:rPr>
  </w:style>
  <w:style w:type="paragraph" w:styleId="a9">
    <w:name w:val="footer"/>
    <w:basedOn w:val="a"/>
    <w:link w:val="aa"/>
    <w:uiPriority w:val="99"/>
    <w:unhideWhenUsed/>
    <w:rsid w:val="00FE0046"/>
    <w:pPr>
      <w:tabs>
        <w:tab w:val="center" w:pos="4153"/>
        <w:tab w:val="right" w:pos="8306"/>
      </w:tabs>
      <w:snapToGrid w:val="0"/>
    </w:pPr>
    <w:rPr>
      <w:sz w:val="20"/>
      <w:szCs w:val="20"/>
    </w:rPr>
  </w:style>
  <w:style w:type="character" w:customStyle="1" w:styleId="aa">
    <w:name w:val="頁尾 字元"/>
    <w:basedOn w:val="a0"/>
    <w:link w:val="a9"/>
    <w:uiPriority w:val="99"/>
    <w:rsid w:val="00FE00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yp.moj.gov.tw/)&#12300;&#38651;&#23376;&#20844;&#202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1415-8F9B-4561-B01A-B5D52BD0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856</Words>
  <Characters>4882</Characters>
  <Application>Microsoft Office Word</Application>
  <DocSecurity>0</DocSecurity>
  <Lines>40</Lines>
  <Paragraphs>11</Paragraphs>
  <ScaleCrop>false</ScaleCrop>
  <Company>MOJ</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林妙恩</dc:creator>
  <cp:keywords/>
  <dc:description/>
  <cp:lastModifiedBy>林妙恩</cp:lastModifiedBy>
  <cp:revision>19</cp:revision>
  <cp:lastPrinted>2025-11-24T06:20:00Z</cp:lastPrinted>
  <dcterms:created xsi:type="dcterms:W3CDTF">2025-10-30T06:35:00Z</dcterms:created>
  <dcterms:modified xsi:type="dcterms:W3CDTF">2025-11-24T06:31:00Z</dcterms:modified>
</cp:coreProperties>
</file>